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7505417A" w:rsidR="00A209D6" w:rsidRPr="00B266B0" w:rsidRDefault="00A209D6" w:rsidP="002D7709">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C77FE4">
        <w:rPr>
          <w:bCs/>
          <w:noProof w:val="0"/>
          <w:sz w:val="24"/>
          <w:szCs w:val="24"/>
        </w:rPr>
        <w:t>1</w:t>
      </w:r>
      <w:r w:rsidRPr="00B266B0">
        <w:rPr>
          <w:bCs/>
          <w:noProof w:val="0"/>
          <w:sz w:val="24"/>
          <w:szCs w:val="24"/>
        </w:rPr>
        <w:tab/>
      </w:r>
      <w:r w:rsidR="00EA5F89">
        <w:rPr>
          <w:bCs/>
          <w:noProof w:val="0"/>
          <w:sz w:val="24"/>
          <w:szCs w:val="24"/>
        </w:rPr>
        <w:t>R2-</w:t>
      </w:r>
      <w:r w:rsidR="00C77FE4">
        <w:rPr>
          <w:bCs/>
          <w:noProof w:val="0"/>
          <w:sz w:val="24"/>
          <w:szCs w:val="24"/>
        </w:rPr>
        <w:t>23</w:t>
      </w:r>
      <w:r w:rsidR="00843C93">
        <w:rPr>
          <w:bCs/>
          <w:noProof w:val="0"/>
          <w:sz w:val="24"/>
          <w:szCs w:val="24"/>
        </w:rPr>
        <w:t>00472</w:t>
      </w:r>
    </w:p>
    <w:p w14:paraId="11776FA6" w14:textId="61E8AC52" w:rsidR="00A209D6" w:rsidRPr="00465587" w:rsidRDefault="00C77FE4" w:rsidP="002D7709">
      <w:pPr>
        <w:pStyle w:val="Header"/>
        <w:tabs>
          <w:tab w:val="right" w:pos="9639"/>
        </w:tabs>
        <w:jc w:val="both"/>
        <w:rPr>
          <w:rFonts w:eastAsia="SimSun"/>
          <w:bCs/>
          <w:sz w:val="24"/>
          <w:szCs w:val="24"/>
          <w:lang w:eastAsia="zh-CN"/>
        </w:rPr>
      </w:pPr>
      <w:r>
        <w:rPr>
          <w:rFonts w:eastAsia="SimSun"/>
          <w:bCs/>
          <w:sz w:val="24"/>
          <w:szCs w:val="24"/>
          <w:lang w:eastAsia="zh-CN"/>
        </w:rPr>
        <w:t>Athens, Greece</w:t>
      </w:r>
      <w:r w:rsidR="00A36F5F" w:rsidRPr="00A36F5F">
        <w:rPr>
          <w:rFonts w:eastAsia="SimSun"/>
          <w:bCs/>
          <w:sz w:val="24"/>
          <w:szCs w:val="24"/>
          <w:lang w:eastAsia="zh-CN"/>
        </w:rPr>
        <w:t xml:space="preserve">, </w:t>
      </w:r>
      <w:r>
        <w:rPr>
          <w:rFonts w:eastAsia="SimSun"/>
          <w:bCs/>
          <w:sz w:val="24"/>
          <w:szCs w:val="24"/>
          <w:lang w:eastAsia="zh-CN"/>
        </w:rPr>
        <w:t>27</w:t>
      </w:r>
      <w:r w:rsidRPr="002D7709">
        <w:rPr>
          <w:rFonts w:eastAsia="SimSun"/>
          <w:bCs/>
          <w:sz w:val="24"/>
          <w:szCs w:val="24"/>
          <w:vertAlign w:val="superscript"/>
          <w:lang w:eastAsia="zh-CN"/>
        </w:rPr>
        <w:t>th</w:t>
      </w:r>
      <w:r>
        <w:rPr>
          <w:rFonts w:eastAsia="SimSun"/>
          <w:bCs/>
          <w:sz w:val="24"/>
          <w:szCs w:val="24"/>
          <w:lang w:eastAsia="zh-CN"/>
        </w:rPr>
        <w:t xml:space="preserve"> of Feb</w:t>
      </w:r>
      <w:r w:rsidR="005C7CD5" w:rsidRPr="005C7CD5">
        <w:rPr>
          <w:rFonts w:eastAsia="SimSun"/>
          <w:bCs/>
          <w:sz w:val="24"/>
          <w:szCs w:val="24"/>
          <w:lang w:eastAsia="zh-CN"/>
        </w:rPr>
        <w:t xml:space="preserve"> – </w:t>
      </w:r>
      <w:r>
        <w:rPr>
          <w:rFonts w:eastAsia="SimSun"/>
          <w:bCs/>
          <w:sz w:val="24"/>
          <w:szCs w:val="24"/>
          <w:lang w:eastAsia="zh-CN"/>
        </w:rPr>
        <w:t>3</w:t>
      </w:r>
      <w:r w:rsidRPr="002D7709">
        <w:rPr>
          <w:rFonts w:eastAsia="SimSun"/>
          <w:bCs/>
          <w:sz w:val="24"/>
          <w:szCs w:val="24"/>
          <w:vertAlign w:val="superscript"/>
          <w:lang w:eastAsia="zh-CN"/>
        </w:rPr>
        <w:t>rd</w:t>
      </w:r>
      <w:r>
        <w:rPr>
          <w:rFonts w:eastAsia="SimSun"/>
          <w:bCs/>
          <w:sz w:val="24"/>
          <w:szCs w:val="24"/>
          <w:lang w:eastAsia="zh-CN"/>
        </w:rPr>
        <w:t xml:space="preserve"> of Mar</w:t>
      </w:r>
      <w:r w:rsidR="005C7CD5" w:rsidRPr="005C7CD5">
        <w:rPr>
          <w:rFonts w:eastAsia="SimSun"/>
          <w:bCs/>
          <w:sz w:val="24"/>
          <w:szCs w:val="24"/>
          <w:lang w:eastAsia="zh-CN"/>
        </w:rPr>
        <w:t xml:space="preserve">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2D7709">
      <w:pPr>
        <w:pStyle w:val="Header"/>
        <w:jc w:val="both"/>
        <w:rPr>
          <w:bCs/>
          <w:noProof w:val="0"/>
          <w:sz w:val="24"/>
        </w:rPr>
      </w:pPr>
    </w:p>
    <w:p w14:paraId="403CB9C0" w14:textId="77777777" w:rsidR="00A209D6" w:rsidRPr="00B266B0" w:rsidRDefault="00A209D6" w:rsidP="002D7709">
      <w:pPr>
        <w:pStyle w:val="Header"/>
        <w:jc w:val="both"/>
        <w:rPr>
          <w:bCs/>
          <w:noProof w:val="0"/>
          <w:sz w:val="24"/>
        </w:rPr>
      </w:pPr>
    </w:p>
    <w:p w14:paraId="310B92C9" w14:textId="3627ADCA" w:rsidR="00446C3A" w:rsidRPr="00B266B0" w:rsidRDefault="00446C3A" w:rsidP="002D7709">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EA5F89">
        <w:rPr>
          <w:rFonts w:cs="Arial"/>
          <w:b/>
          <w:bCs/>
          <w:sz w:val="24"/>
          <w:lang w:eastAsia="ja-JP"/>
        </w:rPr>
        <w:t>6.</w:t>
      </w:r>
      <w:r w:rsidR="00C77FE4">
        <w:rPr>
          <w:rFonts w:cs="Arial"/>
          <w:b/>
          <w:bCs/>
          <w:sz w:val="24"/>
          <w:lang w:eastAsia="ja-JP"/>
        </w:rPr>
        <w:t>6</w:t>
      </w:r>
      <w:r w:rsidR="00EA5F89">
        <w:rPr>
          <w:rFonts w:cs="Arial"/>
          <w:b/>
          <w:bCs/>
          <w:sz w:val="24"/>
          <w:lang w:eastAsia="ja-JP"/>
        </w:rPr>
        <w:t>.3</w:t>
      </w:r>
    </w:p>
    <w:p w14:paraId="73188B46" w14:textId="77777777" w:rsidR="00446C3A" w:rsidRPr="00B266B0" w:rsidRDefault="00446C3A" w:rsidP="002D7709">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3E5EC9F" w:rsidR="00446C3A" w:rsidRDefault="00446C3A" w:rsidP="002D7709">
      <w:pPr>
        <w:ind w:left="1985" w:hanging="1985"/>
        <w:jc w:val="both"/>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A5F89" w:rsidRPr="00EA5F89">
        <w:rPr>
          <w:rFonts w:ascii="Arial" w:hAnsi="Arial" w:cs="Arial"/>
          <w:b/>
          <w:bCs/>
          <w:sz w:val="24"/>
        </w:rPr>
        <w:t>On T430 and epochTime</w:t>
      </w:r>
      <w:r w:rsidR="00843C93">
        <w:rPr>
          <w:rFonts w:ascii="Arial" w:hAnsi="Arial" w:cs="Arial"/>
          <w:b/>
          <w:bCs/>
          <w:sz w:val="24"/>
        </w:rPr>
        <w:t xml:space="preserve"> related aspects</w:t>
      </w:r>
      <w:r w:rsidR="00EA5F89" w:rsidRPr="00EA5F89">
        <w:rPr>
          <w:rFonts w:ascii="Arial" w:hAnsi="Arial" w:cs="Arial"/>
          <w:b/>
          <w:bCs/>
          <w:sz w:val="24"/>
        </w:rPr>
        <w:t xml:space="preserve"> </w:t>
      </w:r>
    </w:p>
    <w:p w14:paraId="25F387E8" w14:textId="5ECCA708" w:rsidR="00446C3A" w:rsidRPr="00B266B0" w:rsidRDefault="00446C3A" w:rsidP="002D7709">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EA5F89" w:rsidRPr="00EA5F89">
        <w:rPr>
          <w:rFonts w:ascii="Arial" w:hAnsi="Arial" w:cs="Arial"/>
          <w:b/>
          <w:bCs/>
          <w:sz w:val="24"/>
        </w:rPr>
        <w:t>NR_NTN_solutions-Core</w:t>
      </w:r>
      <w:r w:rsidRPr="00112F1A">
        <w:rPr>
          <w:rFonts w:ascii="Arial" w:hAnsi="Arial" w:cs="Arial"/>
          <w:b/>
          <w:bCs/>
          <w:sz w:val="24"/>
        </w:rPr>
        <w:t xml:space="preserve"> </w:t>
      </w:r>
      <w:r>
        <w:rPr>
          <w:rFonts w:ascii="Arial" w:hAnsi="Arial" w:cs="Arial"/>
          <w:b/>
          <w:bCs/>
          <w:sz w:val="24"/>
        </w:rPr>
        <w:t xml:space="preserve">- Release </w:t>
      </w:r>
      <w:r w:rsidR="00EA5F89">
        <w:rPr>
          <w:rFonts w:ascii="Arial" w:hAnsi="Arial" w:cs="Arial"/>
          <w:b/>
          <w:bCs/>
          <w:sz w:val="24"/>
        </w:rPr>
        <w:t>17</w:t>
      </w:r>
    </w:p>
    <w:p w14:paraId="6FEB19D6" w14:textId="77777777" w:rsidR="00446C3A" w:rsidRPr="00B266B0" w:rsidRDefault="00446C3A" w:rsidP="002D7709">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2D7709">
      <w:pPr>
        <w:pStyle w:val="Heading1"/>
        <w:jc w:val="both"/>
      </w:pPr>
      <w:r w:rsidRPr="006E13D1">
        <w:t>1</w:t>
      </w:r>
      <w:r w:rsidRPr="006E13D1">
        <w:tab/>
      </w:r>
      <w:r>
        <w:t>Introduction</w:t>
      </w:r>
    </w:p>
    <w:p w14:paraId="4CE064C4" w14:textId="280A133E" w:rsidR="00287130" w:rsidRDefault="00287130" w:rsidP="002D7709">
      <w:pPr>
        <w:jc w:val="both"/>
      </w:pPr>
      <w:r>
        <w:t>RAN2 did send an LS to RAN1 in R2-2211048 [1] stating:</w:t>
      </w:r>
    </w:p>
    <w:p w14:paraId="4DC87C8F" w14:textId="0EF98527" w:rsidR="00287130" w:rsidRDefault="00287130" w:rsidP="002D7709">
      <w:pPr>
        <w:pBdr>
          <w:top w:val="single" w:sz="4" w:space="1" w:color="auto"/>
          <w:left w:val="single" w:sz="4" w:space="4" w:color="auto"/>
          <w:bottom w:val="single" w:sz="4" w:space="1" w:color="auto"/>
          <w:right w:val="single" w:sz="4" w:space="4" w:color="auto"/>
        </w:pBdr>
        <w:jc w:val="both"/>
      </w:pPr>
      <w:r>
        <w:rPr>
          <w:rFonts w:eastAsia="SimSun"/>
          <w:lang w:eastAsia="zh-CN"/>
        </w:rPr>
        <w:t xml:space="preserve">Regarding RAN1’s agreement on serving cell’s Epoch time </w:t>
      </w:r>
      <w:r>
        <w:rPr>
          <w:iCs/>
          <w:lang w:eastAsia="zh-CN"/>
        </w:rPr>
        <w:t xml:space="preserve">referring to the current SFN or the next upcoming SFN after the frame where the message indicating the Epoch time is received, RAN2 has discussed and </w:t>
      </w:r>
      <w:r>
        <w:t>thinks that there could be an issue with latency (e.g. for initial access) when Epoch time points to a future time and validity timer has not started.</w:t>
      </w:r>
    </w:p>
    <w:p w14:paraId="1575D9F3" w14:textId="0978B75D" w:rsidR="00287130" w:rsidRDefault="00287130" w:rsidP="002D7709">
      <w:pPr>
        <w:pBdr>
          <w:top w:val="single" w:sz="4" w:space="1" w:color="auto"/>
          <w:left w:val="single" w:sz="4" w:space="4" w:color="auto"/>
          <w:bottom w:val="single" w:sz="4" w:space="1" w:color="auto"/>
          <w:right w:val="single" w:sz="4" w:space="4" w:color="auto"/>
        </w:pBdr>
        <w:jc w:val="both"/>
      </w:pPr>
      <w:r>
        <w:t>To solve this issue, RAN2 kindly requests RAN1 to provide feedback on whether:</w:t>
      </w:r>
    </w:p>
    <w:p w14:paraId="28744EAB" w14:textId="6B1E0ADA" w:rsidR="00287130" w:rsidRDefault="00287130" w:rsidP="002D7709">
      <w:pPr>
        <w:pBdr>
          <w:top w:val="single" w:sz="4" w:space="1" w:color="auto"/>
          <w:left w:val="single" w:sz="4" w:space="4" w:color="auto"/>
          <w:bottom w:val="single" w:sz="4" w:space="1" w:color="auto"/>
          <w:right w:val="single" w:sz="4" w:space="4" w:color="auto"/>
        </w:pBdr>
        <w:jc w:val="both"/>
      </w:pPr>
      <w:r>
        <w:t>1. backwards propagation of satellite assistance information is needed, or</w:t>
      </w:r>
    </w:p>
    <w:p w14:paraId="7A93339E" w14:textId="388EE863" w:rsidR="00287130" w:rsidRDefault="00287130" w:rsidP="002D7709">
      <w:pPr>
        <w:pBdr>
          <w:top w:val="single" w:sz="4" w:space="1" w:color="auto"/>
          <w:left w:val="single" w:sz="4" w:space="4" w:color="auto"/>
          <w:bottom w:val="single" w:sz="4" w:space="1" w:color="auto"/>
          <w:right w:val="single" w:sz="4" w:space="4" w:color="auto"/>
        </w:pBdr>
        <w:jc w:val="both"/>
        <w:rPr>
          <w:iCs/>
          <w:lang w:eastAsia="zh-CN"/>
        </w:rPr>
      </w:pPr>
      <w:r>
        <w:t>2. Epoch time for serving cell can point to a time in the past (for example, if Epoch time for serving cell will always refer to a</w:t>
      </w:r>
      <w:r>
        <w:rPr>
          <w:iCs/>
          <w:lang w:eastAsia="zh-CN"/>
        </w:rPr>
        <w:t xml:space="preserve"> frame nearest to the frame where the message indicating the Epoch time is received), or</w:t>
      </w:r>
    </w:p>
    <w:p w14:paraId="5D75E54C" w14:textId="16E50389" w:rsidR="00287130" w:rsidRDefault="00287130" w:rsidP="002D7709">
      <w:pPr>
        <w:pBdr>
          <w:top w:val="single" w:sz="4" w:space="1" w:color="auto"/>
          <w:left w:val="single" w:sz="4" w:space="4" w:color="auto"/>
          <w:bottom w:val="single" w:sz="4" w:space="1" w:color="auto"/>
          <w:right w:val="single" w:sz="4" w:space="4" w:color="auto"/>
        </w:pBdr>
        <w:spacing w:before="240"/>
        <w:jc w:val="both"/>
      </w:pPr>
      <w:r>
        <w:rPr>
          <w:iCs/>
          <w:lang w:eastAsia="zh-CN"/>
        </w:rPr>
        <w:t>3.</w:t>
      </w:r>
      <w:r w:rsidRPr="00287130">
        <w:t xml:space="preserve"> </w:t>
      </w:r>
      <w:r>
        <w:t>this can be addressed by setting the Epoch time properly by the network (i.e. no spec changes</w:t>
      </w:r>
      <w:r w:rsidR="00F35980">
        <w:t>)</w:t>
      </w:r>
      <w:r>
        <w:t>.</w:t>
      </w:r>
    </w:p>
    <w:p w14:paraId="7C76F6AC" w14:textId="17F23B28" w:rsidR="00287130" w:rsidRDefault="00287130" w:rsidP="002D7709">
      <w:pPr>
        <w:pBdr>
          <w:top w:val="single" w:sz="4" w:space="1" w:color="auto"/>
          <w:left w:val="single" w:sz="4" w:space="4" w:color="auto"/>
          <w:bottom w:val="single" w:sz="4" w:space="1" w:color="auto"/>
          <w:right w:val="single" w:sz="4" w:space="4" w:color="auto"/>
        </w:pBdr>
        <w:jc w:val="both"/>
      </w:pPr>
      <w:r>
        <w:rPr>
          <w:lang w:eastAsia="zh-CN"/>
        </w:rPr>
        <w:t>Note that in RAN2 there is no consensus on which above option will solve the issue or can only mitigate the issue</w:t>
      </w:r>
    </w:p>
    <w:p w14:paraId="4799C3E6" w14:textId="465E4411" w:rsidR="00C32EBB" w:rsidRDefault="00C32EBB" w:rsidP="002D7709">
      <w:pPr>
        <w:pStyle w:val="xxmsonormal"/>
        <w:shd w:val="clear" w:color="auto" w:fill="FFFFFF"/>
        <w:spacing w:before="0" w:beforeAutospacing="0" w:after="0" w:afterAutospacing="0"/>
        <w:jc w:val="both"/>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At RAN2#120 (November 2022) the following agreements have been made</w:t>
      </w:r>
      <w:r w:rsidR="000B521F">
        <w:rPr>
          <w:rFonts w:ascii="Times New Roman" w:eastAsia="Times New Roman" w:hAnsi="Times New Roman" w:cs="Times New Roman"/>
          <w:color w:val="000000"/>
          <w:sz w:val="20"/>
          <w:szCs w:val="20"/>
          <w:lang w:val="en-US"/>
        </w:rPr>
        <w:t xml:space="preserve"> </w:t>
      </w:r>
      <w:r w:rsidR="000B521F">
        <w:rPr>
          <w:rFonts w:ascii="Times New Roman" w:eastAsia="Times New Roman" w:hAnsi="Times New Roman" w:cs="Times New Roman"/>
          <w:color w:val="000000"/>
          <w:sz w:val="20"/>
          <w:szCs w:val="20"/>
          <w:lang w:val="en-US"/>
        </w:rPr>
        <w:fldChar w:fldCharType="begin"/>
      </w:r>
      <w:r w:rsidR="000B521F">
        <w:rPr>
          <w:rFonts w:ascii="Times New Roman" w:eastAsia="Times New Roman" w:hAnsi="Times New Roman" w:cs="Times New Roman"/>
          <w:color w:val="000000"/>
          <w:sz w:val="20"/>
          <w:szCs w:val="20"/>
          <w:lang w:val="en-US"/>
        </w:rPr>
        <w:instrText xml:space="preserve"> REF _Ref127285482 \r \h </w:instrText>
      </w:r>
      <w:r w:rsidR="000B521F">
        <w:rPr>
          <w:rFonts w:ascii="Times New Roman" w:eastAsia="Times New Roman" w:hAnsi="Times New Roman" w:cs="Times New Roman"/>
          <w:color w:val="000000"/>
          <w:sz w:val="20"/>
          <w:szCs w:val="20"/>
          <w:lang w:val="en-US"/>
        </w:rPr>
      </w:r>
      <w:r w:rsidR="002D7709">
        <w:rPr>
          <w:rFonts w:ascii="Times New Roman" w:eastAsia="Times New Roman" w:hAnsi="Times New Roman" w:cs="Times New Roman"/>
          <w:color w:val="000000"/>
          <w:sz w:val="20"/>
          <w:szCs w:val="20"/>
          <w:lang w:val="en-US"/>
        </w:rPr>
        <w:instrText xml:space="preserve"> \* MERGEFORMAT </w:instrText>
      </w:r>
      <w:r w:rsidR="000B521F">
        <w:rPr>
          <w:rFonts w:ascii="Times New Roman" w:eastAsia="Times New Roman" w:hAnsi="Times New Roman" w:cs="Times New Roman"/>
          <w:color w:val="000000"/>
          <w:sz w:val="20"/>
          <w:szCs w:val="20"/>
          <w:lang w:val="en-US"/>
        </w:rPr>
        <w:fldChar w:fldCharType="separate"/>
      </w:r>
      <w:r w:rsidR="000B521F">
        <w:rPr>
          <w:rFonts w:ascii="Times New Roman" w:eastAsia="Times New Roman" w:hAnsi="Times New Roman" w:cs="Times New Roman"/>
          <w:color w:val="000000"/>
          <w:sz w:val="20"/>
          <w:szCs w:val="20"/>
          <w:lang w:val="en-US"/>
        </w:rPr>
        <w:t>[4]</w:t>
      </w:r>
      <w:r w:rsidR="000B521F">
        <w:rPr>
          <w:rFonts w:ascii="Times New Roman" w:eastAsia="Times New Roman" w:hAnsi="Times New Roman" w:cs="Times New Roman"/>
          <w:color w:val="000000"/>
          <w:sz w:val="20"/>
          <w:szCs w:val="20"/>
          <w:lang w:val="en-US"/>
        </w:rPr>
        <w:fldChar w:fldCharType="end"/>
      </w:r>
      <w:r>
        <w:rPr>
          <w:rFonts w:ascii="Times New Roman" w:eastAsia="Times New Roman" w:hAnsi="Times New Roman" w:cs="Times New Roman"/>
          <w:color w:val="000000"/>
          <w:sz w:val="20"/>
          <w:szCs w:val="20"/>
          <w:lang w:val="en-US"/>
        </w:rPr>
        <w:t>:</w:t>
      </w:r>
      <w:r>
        <w:rPr>
          <w:rFonts w:ascii="Times New Roman" w:eastAsia="Times New Roman" w:hAnsi="Times New Roman" w:cs="Times New Roman"/>
          <w:color w:val="000000"/>
          <w:sz w:val="20"/>
          <w:szCs w:val="20"/>
          <w:lang w:val="en-US"/>
        </w:rPr>
        <w:br/>
      </w:r>
    </w:p>
    <w:tbl>
      <w:tblPr>
        <w:tblStyle w:val="TableGrid"/>
        <w:tblW w:w="0" w:type="auto"/>
        <w:tblLook w:val="04A0" w:firstRow="1" w:lastRow="0" w:firstColumn="1" w:lastColumn="0" w:noHBand="0" w:noVBand="1"/>
      </w:tblPr>
      <w:tblGrid>
        <w:gridCol w:w="9631"/>
      </w:tblGrid>
      <w:tr w:rsidR="00C32EBB" w14:paraId="77FD78E4" w14:textId="77777777" w:rsidTr="00C32EBB">
        <w:tc>
          <w:tcPr>
            <w:tcW w:w="9631" w:type="dxa"/>
          </w:tcPr>
          <w:p w14:paraId="5213B252" w14:textId="7DF25A24" w:rsidR="00C32EBB" w:rsidRDefault="00C32EBB" w:rsidP="002D7709">
            <w:pPr>
              <w:pStyle w:val="Doc-title"/>
              <w:jc w:val="both"/>
            </w:pPr>
            <w:r w:rsidRPr="002D7709">
              <w:t>R2-2213026</w:t>
            </w:r>
            <w:r>
              <w:tab/>
              <w:t>[offline-102</w:t>
            </w:r>
            <w:r w:rsidRPr="007418EC">
              <w:t>]</w:t>
            </w:r>
            <w:r>
              <w:t xml:space="preserve"> RRC corrections – second round</w:t>
            </w:r>
            <w:r w:rsidRPr="007418EC">
              <w:tab/>
            </w:r>
            <w:r>
              <w:t>Ericsson</w:t>
            </w:r>
            <w:r>
              <w:tab/>
            </w:r>
            <w:r w:rsidRPr="007418EC">
              <w:t>discussion</w:t>
            </w:r>
            <w:r w:rsidRPr="007418EC">
              <w:tab/>
            </w:r>
            <w:r>
              <w:t>Rel-17</w:t>
            </w:r>
            <w:r>
              <w:tab/>
              <w:t>NR_NTN_solutions-Core</w:t>
            </w:r>
          </w:p>
          <w:p w14:paraId="58ACD86B" w14:textId="77777777" w:rsidR="00C32EBB" w:rsidRDefault="00C32EBB" w:rsidP="002D7709">
            <w:pPr>
              <w:pStyle w:val="Doc-text2"/>
              <w:numPr>
                <w:ilvl w:val="0"/>
                <w:numId w:val="22"/>
              </w:numPr>
              <w:jc w:val="both"/>
              <w:rPr>
                <w:lang w:eastAsia="zh-TW"/>
              </w:rPr>
            </w:pPr>
            <w:r>
              <w:t>Clarify that the UE “i</w:t>
            </w:r>
            <w:r>
              <w:rPr>
                <w:lang w:eastAsia="zh-TW"/>
              </w:rPr>
              <w:t xml:space="preserve">nform lower layers when UL synchronisation is obtained </w:t>
            </w:r>
          </w:p>
          <w:p w14:paraId="79F75889" w14:textId="77777777" w:rsidR="00C32EBB" w:rsidRDefault="00C32EBB" w:rsidP="002D7709">
            <w:pPr>
              <w:pStyle w:val="Doc-text2"/>
              <w:numPr>
                <w:ilvl w:val="0"/>
                <w:numId w:val="22"/>
              </w:numPr>
              <w:jc w:val="both"/>
              <w:rPr>
                <w:lang w:eastAsia="zh-TW"/>
              </w:rPr>
            </w:pPr>
            <w:r>
              <w:rPr>
                <w:lang w:eastAsia="zh-TW"/>
              </w:rPr>
              <w:t>Clarify that the exact time when UL synchronization is obtained is left to UE implementation (FFS with reference to Epoch time and covering the case when Epoch time is in the past and in the future)</w:t>
            </w:r>
          </w:p>
          <w:p w14:paraId="210C6D8B" w14:textId="77777777" w:rsidR="00C32EBB" w:rsidRDefault="00C32EBB" w:rsidP="002D7709">
            <w:pPr>
              <w:pStyle w:val="Doc-text2"/>
              <w:numPr>
                <w:ilvl w:val="0"/>
                <w:numId w:val="22"/>
              </w:numPr>
              <w:jc w:val="both"/>
              <w:rPr>
                <w:lang w:eastAsia="zh-TW"/>
              </w:rPr>
            </w:pPr>
            <w:r>
              <w:rPr>
                <w:lang w:eastAsia="zh-TW"/>
              </w:rPr>
              <w:t>Continue in the RRC CR review</w:t>
            </w:r>
          </w:p>
          <w:p w14:paraId="583803FA" w14:textId="77777777" w:rsidR="00C32EBB" w:rsidRDefault="00C32EBB" w:rsidP="002D7709">
            <w:pPr>
              <w:pStyle w:val="xxmsonormal"/>
              <w:spacing w:before="0" w:beforeAutospacing="0" w:after="0" w:afterAutospacing="0"/>
              <w:jc w:val="both"/>
              <w:rPr>
                <w:rFonts w:ascii="Times New Roman" w:eastAsia="Times New Roman" w:hAnsi="Times New Roman" w:cs="Times New Roman"/>
                <w:color w:val="000000"/>
                <w:sz w:val="20"/>
                <w:szCs w:val="20"/>
                <w:lang w:val="en-US"/>
              </w:rPr>
            </w:pPr>
          </w:p>
        </w:tc>
      </w:tr>
    </w:tbl>
    <w:p w14:paraId="6970FE02" w14:textId="77777777" w:rsidR="00C32EBB" w:rsidRDefault="00C32EBB" w:rsidP="002D7709">
      <w:pPr>
        <w:pStyle w:val="xxmsonormal"/>
        <w:shd w:val="clear" w:color="auto" w:fill="FFFFFF"/>
        <w:spacing w:before="0" w:beforeAutospacing="0" w:after="0" w:afterAutospacing="0"/>
        <w:jc w:val="both"/>
        <w:rPr>
          <w:rFonts w:ascii="Times New Roman" w:eastAsia="Times New Roman" w:hAnsi="Times New Roman" w:cs="Times New Roman"/>
          <w:color w:val="000000"/>
          <w:sz w:val="20"/>
          <w:szCs w:val="20"/>
          <w:lang w:val="en-US"/>
        </w:rPr>
      </w:pPr>
    </w:p>
    <w:p w14:paraId="3C708BF0" w14:textId="296615AC" w:rsidR="00C32EBB" w:rsidRDefault="008A0623" w:rsidP="002D7709">
      <w:pPr>
        <w:pStyle w:val="xxmsonormal"/>
        <w:shd w:val="clear" w:color="auto" w:fill="FFFFFF"/>
        <w:spacing w:before="0" w:beforeAutospacing="0" w:after="0" w:afterAutospacing="0"/>
        <w:jc w:val="both"/>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 xml:space="preserve">The final NR RRC text has been clarified via RAN2 mailing discussion and corresponding CR was agreed in </w:t>
      </w:r>
      <w:r>
        <w:rPr>
          <w:rFonts w:ascii="Times New Roman" w:eastAsia="Times New Roman" w:hAnsi="Times New Roman" w:cs="Times New Roman"/>
          <w:color w:val="000000"/>
          <w:sz w:val="20"/>
          <w:szCs w:val="20"/>
          <w:lang w:val="en-US"/>
        </w:rPr>
        <w:fldChar w:fldCharType="begin"/>
      </w:r>
      <w:r>
        <w:rPr>
          <w:rFonts w:ascii="Times New Roman" w:eastAsia="Times New Roman" w:hAnsi="Times New Roman" w:cs="Times New Roman"/>
          <w:color w:val="000000"/>
          <w:sz w:val="20"/>
          <w:szCs w:val="20"/>
          <w:lang w:val="en-US"/>
        </w:rPr>
        <w:instrText xml:space="preserve"> REF _Ref127285185 \r \h </w:instrText>
      </w:r>
      <w:r>
        <w:rPr>
          <w:rFonts w:ascii="Times New Roman" w:eastAsia="Times New Roman" w:hAnsi="Times New Roman" w:cs="Times New Roman"/>
          <w:color w:val="000000"/>
          <w:sz w:val="20"/>
          <w:szCs w:val="20"/>
          <w:lang w:val="en-US"/>
        </w:rPr>
      </w:r>
      <w:r w:rsidR="002D7709">
        <w:rPr>
          <w:rFonts w:ascii="Times New Roman" w:eastAsia="Times New Roman" w:hAnsi="Times New Roman" w:cs="Times New Roman"/>
          <w:color w:val="000000"/>
          <w:sz w:val="20"/>
          <w:szCs w:val="20"/>
          <w:lang w:val="en-US"/>
        </w:rPr>
        <w:instrText xml:space="preserve"> \* MERGEFORMAT </w:instrText>
      </w:r>
      <w:r>
        <w:rPr>
          <w:rFonts w:ascii="Times New Roman" w:eastAsia="Times New Roman" w:hAnsi="Times New Roman" w:cs="Times New Roman"/>
          <w:color w:val="000000"/>
          <w:sz w:val="20"/>
          <w:szCs w:val="20"/>
          <w:lang w:val="en-US"/>
        </w:rPr>
        <w:fldChar w:fldCharType="separate"/>
      </w:r>
      <w:r>
        <w:rPr>
          <w:rFonts w:ascii="Times New Roman" w:eastAsia="Times New Roman" w:hAnsi="Times New Roman" w:cs="Times New Roman"/>
          <w:color w:val="000000"/>
          <w:sz w:val="20"/>
          <w:szCs w:val="20"/>
          <w:lang w:val="en-US"/>
        </w:rPr>
        <w:t>[3]</w:t>
      </w:r>
      <w:r>
        <w:rPr>
          <w:rFonts w:ascii="Times New Roman" w:eastAsia="Times New Roman" w:hAnsi="Times New Roman" w:cs="Times New Roman"/>
          <w:color w:val="000000"/>
          <w:sz w:val="20"/>
          <w:szCs w:val="20"/>
          <w:lang w:val="en-US"/>
        </w:rPr>
        <w:fldChar w:fldCharType="end"/>
      </w:r>
      <w:r>
        <w:rPr>
          <w:rFonts w:ascii="Times New Roman" w:eastAsia="Times New Roman" w:hAnsi="Times New Roman" w:cs="Times New Roman"/>
          <w:color w:val="000000"/>
          <w:sz w:val="20"/>
          <w:szCs w:val="20"/>
          <w:lang w:val="en-US"/>
        </w:rPr>
        <w:t>.</w:t>
      </w:r>
    </w:p>
    <w:p w14:paraId="2FB97C3F" w14:textId="77777777" w:rsidR="008A0623" w:rsidRDefault="008A0623" w:rsidP="002D7709">
      <w:pPr>
        <w:pStyle w:val="xxmsonormal"/>
        <w:shd w:val="clear" w:color="auto" w:fill="FFFFFF"/>
        <w:spacing w:before="0" w:beforeAutospacing="0" w:after="0" w:afterAutospacing="0"/>
        <w:jc w:val="both"/>
        <w:rPr>
          <w:rFonts w:ascii="Times New Roman" w:eastAsia="Times New Roman" w:hAnsi="Times New Roman" w:cs="Times New Roman"/>
          <w:color w:val="000000"/>
          <w:sz w:val="20"/>
          <w:szCs w:val="20"/>
          <w:lang w:val="en-US"/>
        </w:rPr>
      </w:pPr>
    </w:p>
    <w:p w14:paraId="57D6EDA8" w14:textId="094668E2" w:rsidR="00287130" w:rsidRPr="00287130" w:rsidRDefault="00287130" w:rsidP="002D7709">
      <w:pPr>
        <w:pStyle w:val="xxmsonormal"/>
        <w:shd w:val="clear" w:color="auto" w:fill="FFFFFF"/>
        <w:spacing w:before="0" w:beforeAutospacing="0" w:after="0" w:afterAutospacing="0"/>
        <w:jc w:val="both"/>
      </w:pPr>
      <w:r w:rsidRPr="00287130">
        <w:rPr>
          <w:rFonts w:ascii="Times New Roman" w:eastAsia="Times New Roman" w:hAnsi="Times New Roman" w:cs="Times New Roman"/>
          <w:color w:val="000000"/>
          <w:sz w:val="20"/>
          <w:szCs w:val="20"/>
          <w:lang w:val="en-US"/>
        </w:rPr>
        <w:t xml:space="preserve">In this contribution we would like to </w:t>
      </w:r>
      <w:r w:rsidR="008A0623">
        <w:rPr>
          <w:rFonts w:ascii="Times New Roman" w:eastAsia="Times New Roman" w:hAnsi="Times New Roman" w:cs="Times New Roman"/>
          <w:color w:val="000000"/>
          <w:sz w:val="20"/>
          <w:szCs w:val="20"/>
          <w:lang w:val="en-US"/>
        </w:rPr>
        <w:t>underline what T430-related issues there may still be</w:t>
      </w:r>
      <w:r w:rsidRPr="00287130">
        <w:rPr>
          <w:rFonts w:ascii="Times New Roman" w:eastAsia="Times New Roman" w:hAnsi="Times New Roman" w:cs="Times New Roman"/>
          <w:color w:val="000000"/>
          <w:sz w:val="20"/>
          <w:szCs w:val="20"/>
          <w:lang w:val="en-US"/>
        </w:rPr>
        <w:t>.</w:t>
      </w:r>
    </w:p>
    <w:p w14:paraId="7D484B6E" w14:textId="0B99EECA" w:rsidR="009339CB" w:rsidRDefault="009339CB" w:rsidP="002D7709">
      <w:pPr>
        <w:pStyle w:val="Heading1"/>
        <w:jc w:val="both"/>
      </w:pPr>
      <w:r w:rsidRPr="006E13D1">
        <w:t>2</w:t>
      </w:r>
      <w:r w:rsidRPr="006E13D1">
        <w:tab/>
      </w:r>
      <w:r w:rsidR="00287130">
        <w:t>Expected behaviour</w:t>
      </w:r>
    </w:p>
    <w:p w14:paraId="65D2275F" w14:textId="39B9B237" w:rsidR="009017FC" w:rsidRDefault="009017FC" w:rsidP="002D7709">
      <w:pPr>
        <w:jc w:val="both"/>
      </w:pPr>
      <w:r>
        <w:t>In this section we describe our understanding of</w:t>
      </w:r>
      <w:r w:rsidR="000B521F">
        <w:t xml:space="preserve"> what may </w:t>
      </w:r>
      <w:proofErr w:type="gramStart"/>
      <w:r w:rsidR="000B521F">
        <w:t>still remain</w:t>
      </w:r>
      <w:proofErr w:type="gramEnd"/>
      <w:r w:rsidR="000B521F">
        <w:t xml:space="preserve"> unclear for T430, </w:t>
      </w:r>
      <w:r w:rsidR="000B521F" w:rsidRPr="000B521F">
        <w:t>UlSyncValidityDuration</w:t>
      </w:r>
      <w:r w:rsidR="000B521F">
        <w:t xml:space="preserve"> and epochTime.</w:t>
      </w:r>
    </w:p>
    <w:p w14:paraId="5982B445" w14:textId="6785638C" w:rsidR="009339CB" w:rsidRDefault="009339CB" w:rsidP="002D7709">
      <w:pPr>
        <w:pStyle w:val="Heading2"/>
        <w:jc w:val="both"/>
      </w:pPr>
      <w:r>
        <w:t>2</w:t>
      </w:r>
      <w:r w:rsidRPr="006E13D1">
        <w:t>.1</w:t>
      </w:r>
      <w:r w:rsidRPr="006E13D1">
        <w:tab/>
      </w:r>
      <w:r w:rsidR="00723FF5">
        <w:t xml:space="preserve">The </w:t>
      </w:r>
      <w:r w:rsidR="002D7709">
        <w:t>ultimate</w:t>
      </w:r>
      <w:r w:rsidR="00723FF5">
        <w:t xml:space="preserve"> role of T430</w:t>
      </w:r>
    </w:p>
    <w:p w14:paraId="2B83BA3C" w14:textId="4C5A24A0" w:rsidR="00723FF5" w:rsidRDefault="00723FF5" w:rsidP="002D7709">
      <w:pPr>
        <w:jc w:val="both"/>
      </w:pPr>
      <w:r>
        <w:t xml:space="preserve">At RAN2#120 and in the subsequent e-mail discussion it has been agreed that the UE can transmit in the UL even if the timer T430 is not running. The reason behind is that the UE might have obtained a new version of SIB19 (including the </w:t>
      </w:r>
      <w:r>
        <w:lastRenderedPageBreak/>
        <w:t xml:space="preserve">T430 and the epochTime), but the epochTime is in the future. Then the UE is allowed to transmit even with no T430 running, as per the following NOTE </w:t>
      </w:r>
      <w:r>
        <w:fldChar w:fldCharType="begin"/>
      </w:r>
      <w:r>
        <w:instrText xml:space="preserve"> REF _Ref127285185 \r \h </w:instrText>
      </w:r>
      <w:r w:rsidR="002D7709">
        <w:instrText xml:space="preserve"> \* MERGEFORMAT </w:instrText>
      </w:r>
      <w:r>
        <w:fldChar w:fldCharType="separate"/>
      </w:r>
      <w:r>
        <w:t>[3]</w:t>
      </w:r>
      <w:r>
        <w:fldChar w:fldCharType="end"/>
      </w:r>
      <w:r>
        <w:t>:</w:t>
      </w:r>
    </w:p>
    <w:tbl>
      <w:tblPr>
        <w:tblStyle w:val="TableGrid"/>
        <w:tblW w:w="0" w:type="auto"/>
        <w:tblLook w:val="04A0" w:firstRow="1" w:lastRow="0" w:firstColumn="1" w:lastColumn="0" w:noHBand="0" w:noVBand="1"/>
      </w:tblPr>
      <w:tblGrid>
        <w:gridCol w:w="9631"/>
      </w:tblGrid>
      <w:tr w:rsidR="00723FF5" w14:paraId="55D8B95E" w14:textId="77777777" w:rsidTr="00723FF5">
        <w:tc>
          <w:tcPr>
            <w:tcW w:w="9631" w:type="dxa"/>
          </w:tcPr>
          <w:p w14:paraId="61B7738C" w14:textId="353981CC" w:rsidR="00723FF5" w:rsidRDefault="00723FF5" w:rsidP="002D7709">
            <w:pPr>
              <w:jc w:val="both"/>
            </w:pPr>
            <w:r w:rsidRPr="00723FF5">
              <w:t>NOTE:</w:t>
            </w:r>
            <w:r w:rsidRPr="00723FF5">
              <w:tab/>
              <w:t>The exact time when UL synchronisation is obtained (after SIB19 is acquired) is left to UE implementation, which can be from the subframe indicated by epochTime and optionally before the subframe indicated by epochTime.</w:t>
            </w:r>
          </w:p>
        </w:tc>
      </w:tr>
    </w:tbl>
    <w:p w14:paraId="6E1285ED" w14:textId="346648F0" w:rsidR="00723FF5" w:rsidRDefault="00723FF5" w:rsidP="002D7709">
      <w:pPr>
        <w:jc w:val="both"/>
      </w:pPr>
      <w:r>
        <w:br/>
      </w:r>
      <w:r w:rsidR="00C77FE4">
        <w:t xml:space="preserve">The </w:t>
      </w:r>
      <w:proofErr w:type="gramStart"/>
      <w:r w:rsidR="00C77FE4">
        <w:t>aforementioned NOTE</w:t>
      </w:r>
      <w:proofErr w:type="gramEnd"/>
      <w:r w:rsidR="00C77FE4">
        <w:t xml:space="preserve"> can be found in 5.2.2.6 of TS 38.331, wherein a description of actions for T430 expiry is</w:t>
      </w:r>
      <w:r w:rsidR="00843C93">
        <w:t xml:space="preserve"> also</w:t>
      </w:r>
      <w:r w:rsidR="00C77FE4">
        <w:t xml:space="preserve"> provided. </w:t>
      </w:r>
    </w:p>
    <w:p w14:paraId="4303925E" w14:textId="2AE96A27" w:rsidR="00C77FE4" w:rsidRPr="002D7709" w:rsidRDefault="00C77FE4" w:rsidP="002D7709">
      <w:pPr>
        <w:jc w:val="both"/>
        <w:rPr>
          <w:b/>
          <w:bCs/>
        </w:rPr>
      </w:pPr>
      <w:r w:rsidRPr="002D7709">
        <w:rPr>
          <w:b/>
          <w:bCs/>
        </w:rPr>
        <w:t>Observation 1: As per RAN2 decisions, the NTN UE can transmit in UL even though the timer T430 is not running</w:t>
      </w:r>
      <w:r w:rsidR="00843C93">
        <w:rPr>
          <w:b/>
          <w:bCs/>
        </w:rPr>
        <w:t>, assuming the NOTE describes a binding behavior</w:t>
      </w:r>
      <w:r w:rsidRPr="002D7709">
        <w:rPr>
          <w:b/>
          <w:bCs/>
        </w:rPr>
        <w:t>.</w:t>
      </w:r>
    </w:p>
    <w:p w14:paraId="5FC793D6" w14:textId="3B7243A9" w:rsidR="007D7ABA" w:rsidRDefault="00843C93" w:rsidP="002D7709">
      <w:pPr>
        <w:jc w:val="both"/>
      </w:pPr>
      <w:r>
        <w:t>As a result,</w:t>
      </w:r>
      <w:r w:rsidR="0085464B">
        <w:t xml:space="preserve"> in fact the role of T430 is</w:t>
      </w:r>
      <w:r w:rsidR="007D7ABA">
        <w:t xml:space="preserve"> not anymore</w:t>
      </w:r>
      <w:r w:rsidR="0085464B">
        <w:t xml:space="preserve"> to control whether the UE has obtained the information (such as System Information or RRC Reconfiguration) which may allow to </w:t>
      </w:r>
      <w:r w:rsidR="007D7ABA">
        <w:t xml:space="preserve">obtain UL sync. Its role is also not to control the status of </w:t>
      </w:r>
      <w:r w:rsidR="00CF4821">
        <w:t xml:space="preserve">UE’s </w:t>
      </w:r>
      <w:r w:rsidR="007D7ABA">
        <w:t>UL sync</w:t>
      </w:r>
      <w:r w:rsidR="00CF4821">
        <w:t xml:space="preserve"> as the timer may not be running while the UE </w:t>
      </w:r>
      <w:proofErr w:type="gramStart"/>
      <w:r w:rsidR="00CF4821">
        <w:t>is considered to be</w:t>
      </w:r>
      <w:proofErr w:type="gramEnd"/>
      <w:r w:rsidR="00CF4821">
        <w:t xml:space="preserve"> uplink-synchronized</w:t>
      </w:r>
      <w:r w:rsidR="007D7ABA">
        <w:t xml:space="preserve">. </w:t>
      </w:r>
    </w:p>
    <w:p w14:paraId="5F225DB2" w14:textId="0255BDC3" w:rsidR="007D7ABA" w:rsidRPr="002D7709" w:rsidRDefault="007D7ABA" w:rsidP="002D7709">
      <w:pPr>
        <w:jc w:val="both"/>
        <w:rPr>
          <w:b/>
          <w:bCs/>
        </w:rPr>
      </w:pPr>
      <w:r w:rsidRPr="002D7709">
        <w:rPr>
          <w:b/>
          <w:bCs/>
        </w:rPr>
        <w:t>Observation 2: As per current 38.331 excerpts on T430, its role is neither to control whether the UE has obtained the information (such as System Information or RRC Reconfiguration) which may allow to obtain UL sync, nor to control the status of UL sync.</w:t>
      </w:r>
    </w:p>
    <w:p w14:paraId="17566CB4" w14:textId="2DADE713" w:rsidR="00C77FE4" w:rsidRDefault="007D7ABA" w:rsidP="002D7709">
      <w:pPr>
        <w:jc w:val="both"/>
      </w:pPr>
      <w:r>
        <w:t>We acknowledge that reaching the current state of agreements was not easy and perhaps this is the best solution we can have</w:t>
      </w:r>
      <w:r w:rsidR="00CF4821">
        <w:t xml:space="preserve"> in Rel-17</w:t>
      </w:r>
      <w:r>
        <w:t xml:space="preserve">. However, we </w:t>
      </w:r>
      <w:r w:rsidR="00CF4821">
        <w:t>are also a bit afraid</w:t>
      </w:r>
      <w:r>
        <w:t xml:space="preserve"> there might be a big deviation from what the T430 was intended to be used for and how other WGs (</w:t>
      </w:r>
      <w:proofErr w:type="gramStart"/>
      <w:r w:rsidR="00CF4821">
        <w:t>in particular</w:t>
      </w:r>
      <w:r>
        <w:t xml:space="preserve"> RAN1</w:t>
      </w:r>
      <w:proofErr w:type="gramEnd"/>
      <w:r>
        <w:t xml:space="preserve">) perceive the role of </w:t>
      </w:r>
      <w:r w:rsidR="00CF4821">
        <w:t>T430</w:t>
      </w:r>
      <w:r>
        <w:t xml:space="preserve"> or </w:t>
      </w:r>
      <w:r w:rsidRPr="000B521F">
        <w:t>UlSyncValidityDuration</w:t>
      </w:r>
      <w:r w:rsidR="00CF4821">
        <w:t xml:space="preserve"> parameter</w:t>
      </w:r>
      <w:r>
        <w:t>.</w:t>
      </w:r>
    </w:p>
    <w:p w14:paraId="3E0E45A6" w14:textId="4C6AF46A" w:rsidR="007D7ABA" w:rsidRPr="002D7709" w:rsidRDefault="007D7ABA" w:rsidP="002D7709">
      <w:pPr>
        <w:jc w:val="both"/>
        <w:rPr>
          <w:b/>
          <w:bCs/>
        </w:rPr>
      </w:pPr>
      <w:r w:rsidRPr="002D7709">
        <w:rPr>
          <w:b/>
          <w:bCs/>
        </w:rPr>
        <w:t>Observation 3: There seems to be a large deviation from what the T430/ UlSyncValidityDuration was intended to be used for and how other WGs (</w:t>
      </w:r>
      <w:proofErr w:type="gramStart"/>
      <w:r w:rsidRPr="002D7709">
        <w:rPr>
          <w:b/>
          <w:bCs/>
        </w:rPr>
        <w:t>e.g.</w:t>
      </w:r>
      <w:proofErr w:type="gramEnd"/>
      <w:r w:rsidRPr="002D7709">
        <w:rPr>
          <w:b/>
          <w:bCs/>
        </w:rPr>
        <w:t xml:space="preserve"> RAN1) perceive the role of </w:t>
      </w:r>
      <w:r w:rsidR="007F080B">
        <w:rPr>
          <w:b/>
          <w:bCs/>
        </w:rPr>
        <w:t xml:space="preserve">T430 </w:t>
      </w:r>
      <w:r w:rsidRPr="002D7709">
        <w:rPr>
          <w:b/>
          <w:bCs/>
        </w:rPr>
        <w:t>or UlSyncValidityDuration.</w:t>
      </w:r>
    </w:p>
    <w:p w14:paraId="72464BAB" w14:textId="2CDDB26F" w:rsidR="007D7ABA" w:rsidRDefault="007D7ABA" w:rsidP="002D7709">
      <w:pPr>
        <w:jc w:val="both"/>
      </w:pPr>
      <w:r>
        <w:t xml:space="preserve">Thus, RAN2 may consider if any other means are needed, such as the genuine timer which would </w:t>
      </w:r>
      <w:r w:rsidR="007F080B">
        <w:t>match</w:t>
      </w:r>
      <w:r>
        <w:t xml:space="preserve"> the </w:t>
      </w:r>
      <w:r w:rsidR="007F080B">
        <w:t xml:space="preserve">period when the </w:t>
      </w:r>
      <w:r>
        <w:t xml:space="preserve">UE </w:t>
      </w:r>
      <w:r w:rsidR="007F080B">
        <w:t xml:space="preserve">has </w:t>
      </w:r>
      <w:r>
        <w:t>UL sync.</w:t>
      </w:r>
    </w:p>
    <w:p w14:paraId="3A20AF1D" w14:textId="52585F57" w:rsidR="00FF4C78" w:rsidRPr="002D7709" w:rsidRDefault="007D7ABA" w:rsidP="002D7709">
      <w:pPr>
        <w:jc w:val="both"/>
        <w:rPr>
          <w:b/>
          <w:bCs/>
        </w:rPr>
      </w:pPr>
      <w:r w:rsidRPr="002D7709">
        <w:rPr>
          <w:b/>
          <w:bCs/>
        </w:rPr>
        <w:t>Proposal</w:t>
      </w:r>
      <w:r w:rsidR="007F080B" w:rsidRPr="002D7709">
        <w:rPr>
          <w:b/>
          <w:bCs/>
        </w:rPr>
        <w:t xml:space="preserve"> 1</w:t>
      </w:r>
      <w:r w:rsidRPr="002D7709">
        <w:rPr>
          <w:b/>
          <w:bCs/>
        </w:rPr>
        <w:t>:</w:t>
      </w:r>
      <w:r w:rsidR="007F080B" w:rsidRPr="002D7709">
        <w:rPr>
          <w:b/>
          <w:bCs/>
        </w:rPr>
        <w:t xml:space="preserve"> RAN2 is asked to reconsider if the definitions of </w:t>
      </w:r>
      <w:r w:rsidR="007F080B" w:rsidRPr="002D7709">
        <w:rPr>
          <w:b/>
          <w:bCs/>
        </w:rPr>
        <w:t>T430 or UlSyncValidityDuration</w:t>
      </w:r>
      <w:r w:rsidR="007F080B" w:rsidRPr="002D7709">
        <w:rPr>
          <w:b/>
          <w:bCs/>
        </w:rPr>
        <w:t xml:space="preserve"> are as intended. </w:t>
      </w:r>
    </w:p>
    <w:p w14:paraId="6712F74C" w14:textId="3DEBEEA3" w:rsidR="002107F7" w:rsidRDefault="002107F7" w:rsidP="002D7709">
      <w:pPr>
        <w:pStyle w:val="Heading2"/>
        <w:jc w:val="both"/>
      </w:pPr>
      <w:r>
        <w:t>2</w:t>
      </w:r>
      <w:r w:rsidRPr="006E13D1">
        <w:t>.</w:t>
      </w:r>
      <w:r w:rsidR="00645C28">
        <w:t>2</w:t>
      </w:r>
      <w:r w:rsidRPr="006E13D1">
        <w:tab/>
      </w:r>
      <w:r>
        <w:t>Implicit epoch time</w:t>
      </w:r>
      <w:r w:rsidR="005F5036">
        <w:t xml:space="preserve"> indication</w:t>
      </w:r>
    </w:p>
    <w:p w14:paraId="5DA6178B" w14:textId="393BF05B" w:rsidR="002107F7" w:rsidRDefault="005F5036" w:rsidP="002D7709">
      <w:pPr>
        <w:jc w:val="both"/>
      </w:pPr>
      <w:r>
        <w:t xml:space="preserve">In the </w:t>
      </w:r>
      <w:r w:rsidR="00CB3BEF">
        <w:t>RRC description</w:t>
      </w:r>
      <w:r w:rsidR="002D7709">
        <w:t xml:space="preserve"> </w:t>
      </w:r>
      <w:r w:rsidR="002D7709">
        <w:fldChar w:fldCharType="begin"/>
      </w:r>
      <w:r w:rsidR="002D7709">
        <w:instrText xml:space="preserve"> REF _Ref118130224 \r \h </w:instrText>
      </w:r>
      <w:r w:rsidR="002D7709">
        <w:instrText xml:space="preserve"> \* MERGEFORMAT </w:instrText>
      </w:r>
      <w:r w:rsidR="002D7709">
        <w:fldChar w:fldCharType="separate"/>
      </w:r>
      <w:r w:rsidR="002D7709">
        <w:t>[2]</w:t>
      </w:r>
      <w:r w:rsidR="002D7709">
        <w:fldChar w:fldCharType="end"/>
      </w:r>
      <w:r w:rsidR="00CB3BEF">
        <w:t xml:space="preserve"> of the satellite assistance information elements, the field describing the epoch time indicates that </w:t>
      </w:r>
      <w:r w:rsidR="000A260C">
        <w:t xml:space="preserve">it can be explicitly or implicitly indicated. When the epoch time is implicitly indicated, </w:t>
      </w:r>
      <w:r w:rsidR="00F61B76">
        <w:t xml:space="preserve">it corresponds to the end of the current SI-Window where SIB19 was transmitted. </w:t>
      </w:r>
    </w:p>
    <w:tbl>
      <w:tblPr>
        <w:tblStyle w:val="TableGrid"/>
        <w:tblW w:w="0" w:type="auto"/>
        <w:tblLook w:val="04A0" w:firstRow="1" w:lastRow="0" w:firstColumn="1" w:lastColumn="0" w:noHBand="0" w:noVBand="1"/>
      </w:tblPr>
      <w:tblGrid>
        <w:gridCol w:w="9631"/>
      </w:tblGrid>
      <w:tr w:rsidR="00F2790C" w14:paraId="3E9C1C71" w14:textId="77777777" w:rsidTr="00F2790C">
        <w:tc>
          <w:tcPr>
            <w:tcW w:w="9631" w:type="dxa"/>
          </w:tcPr>
          <w:p w14:paraId="3E18E5B5" w14:textId="77777777" w:rsidR="007D7ABA" w:rsidRPr="007D7ABA" w:rsidRDefault="007D7ABA" w:rsidP="002D7709">
            <w:pPr>
              <w:keepNext/>
              <w:keepLines/>
              <w:overflowPunct w:val="0"/>
              <w:autoSpaceDE w:val="0"/>
              <w:autoSpaceDN w:val="0"/>
              <w:adjustRightInd w:val="0"/>
              <w:spacing w:after="0"/>
              <w:jc w:val="both"/>
              <w:textAlignment w:val="baseline"/>
              <w:rPr>
                <w:b/>
                <w:i/>
                <w:sz w:val="18"/>
                <w:lang w:eastAsia="sv-SE"/>
              </w:rPr>
            </w:pPr>
            <w:r w:rsidRPr="007D7ABA">
              <w:rPr>
                <w:b/>
                <w:i/>
                <w:sz w:val="18"/>
                <w:lang w:eastAsia="sv-SE"/>
              </w:rPr>
              <w:lastRenderedPageBreak/>
              <w:t>epochTime</w:t>
            </w:r>
          </w:p>
          <w:p w14:paraId="4F7574DC" w14:textId="5C311DB4" w:rsidR="007D7ABA" w:rsidRDefault="007D7ABA" w:rsidP="002D7709">
            <w:pPr>
              <w:pStyle w:val="NormalWeb"/>
              <w:jc w:val="both"/>
              <w:rPr>
                <w:rFonts w:ascii="Segoe UI" w:hAnsi="Segoe UI" w:cs="Segoe UI"/>
                <w:b/>
                <w:i/>
                <w:color w:val="242424"/>
                <w:sz w:val="18"/>
                <w:szCs w:val="18"/>
              </w:rPr>
            </w:pPr>
            <w:r w:rsidRPr="007D7ABA">
              <w:rPr>
                <w:rFonts w:ascii="Times New Roman" w:eastAsia="Times New Roman" w:hAnsi="Times New Roman" w:cs="Times New Roman"/>
                <w:bCs/>
                <w:iCs/>
                <w:sz w:val="20"/>
                <w:szCs w:val="22"/>
                <w:lang w:val="en-GB" w:eastAsia="sv-SE"/>
              </w:rPr>
              <w:t xml:space="preserve">Indicate the epoch time for the NTN assistance information. When explicitly provided through SIB, or through dedicated signaling, the </w:t>
            </w:r>
            <w:r w:rsidRPr="007D7ABA">
              <w:rPr>
                <w:rFonts w:ascii="Times New Roman" w:eastAsia="Times New Roman" w:hAnsi="Times New Roman" w:cs="Times New Roman"/>
                <w:bCs/>
                <w:i/>
                <w:sz w:val="20"/>
                <w:szCs w:val="22"/>
                <w:lang w:val="en-GB" w:eastAsia="sv-SE"/>
              </w:rPr>
              <w:t>EpochTime</w:t>
            </w:r>
            <w:r w:rsidRPr="007D7ABA">
              <w:rPr>
                <w:rFonts w:ascii="Times New Roman" w:eastAsia="Times New Roman" w:hAnsi="Times New Roman" w:cs="Times New Roman"/>
                <w:bCs/>
                <w:iCs/>
                <w:sz w:val="20"/>
                <w:szCs w:val="22"/>
                <w:lang w:val="en-GB" w:eastAsia="sv-SE"/>
              </w:rPr>
              <w:t xml:space="preserve"> is the starting time of a DL sub-frame, indicated by a SFN and a sub-frame number signaled together with the assistance information. For serving cell, the field </w:t>
            </w:r>
            <w:r w:rsidRPr="007D7ABA">
              <w:rPr>
                <w:rFonts w:ascii="Times New Roman" w:eastAsia="Times New Roman" w:hAnsi="Times New Roman" w:cs="Times New Roman"/>
                <w:bCs/>
                <w:i/>
                <w:sz w:val="20"/>
                <w:szCs w:val="22"/>
                <w:lang w:val="en-GB" w:eastAsia="sv-SE"/>
              </w:rPr>
              <w:t>sfn</w:t>
            </w:r>
            <w:r w:rsidRPr="007D7ABA">
              <w:rPr>
                <w:rFonts w:ascii="Times New Roman" w:eastAsia="Times New Roman" w:hAnsi="Times New Roman" w:cs="Times New Roman"/>
                <w:bCs/>
                <w:iCs/>
                <w:sz w:val="20"/>
                <w:szCs w:val="22"/>
                <w:lang w:val="en-GB" w:eastAsia="sv-SE"/>
              </w:rPr>
              <w:t xml:space="preserve"> indicates the current SFN or the next upcoming SFN after the frame where the message indicating the </w:t>
            </w:r>
            <w:r w:rsidRPr="007D7ABA">
              <w:rPr>
                <w:rFonts w:ascii="Times New Roman" w:eastAsia="Times New Roman" w:hAnsi="Times New Roman" w:cs="Times New Roman"/>
                <w:bCs/>
                <w:i/>
                <w:sz w:val="20"/>
                <w:szCs w:val="22"/>
                <w:lang w:val="en-GB" w:eastAsia="sv-SE"/>
              </w:rPr>
              <w:t>epochTime</w:t>
            </w:r>
            <w:r w:rsidRPr="007D7ABA">
              <w:rPr>
                <w:rFonts w:ascii="Times New Roman" w:eastAsia="Times New Roman" w:hAnsi="Times New Roman" w:cs="Times New Roman"/>
                <w:bCs/>
                <w:iCs/>
                <w:sz w:val="20"/>
                <w:szCs w:val="22"/>
                <w:lang w:val="en-GB" w:eastAsia="sv-SE"/>
              </w:rPr>
              <w:t xml:space="preserve"> is received. For neighbour cell, the </w:t>
            </w:r>
            <w:r w:rsidRPr="007D7ABA">
              <w:rPr>
                <w:rFonts w:ascii="Times New Roman" w:eastAsia="Times New Roman" w:hAnsi="Times New Roman" w:cs="Times New Roman"/>
                <w:bCs/>
                <w:i/>
                <w:sz w:val="20"/>
                <w:szCs w:val="22"/>
                <w:lang w:val="en-GB" w:eastAsia="sv-SE"/>
              </w:rPr>
              <w:t>sfn</w:t>
            </w:r>
            <w:r w:rsidRPr="007D7ABA">
              <w:rPr>
                <w:rFonts w:ascii="Times New Roman" w:eastAsia="Times New Roman" w:hAnsi="Times New Roman" w:cs="Times New Roman"/>
                <w:bCs/>
                <w:iCs/>
                <w:sz w:val="20"/>
                <w:szCs w:val="22"/>
                <w:lang w:val="en-GB" w:eastAsia="sv-SE"/>
              </w:rPr>
              <w:t xml:space="preserve"> indicates the SFN nearest to the frame where the message indicating the </w:t>
            </w:r>
            <w:r w:rsidRPr="007D7ABA">
              <w:rPr>
                <w:rFonts w:ascii="Times New Roman" w:eastAsia="Times New Roman" w:hAnsi="Times New Roman" w:cs="Times New Roman"/>
                <w:bCs/>
                <w:i/>
                <w:sz w:val="20"/>
                <w:szCs w:val="22"/>
                <w:lang w:val="en-GB" w:eastAsia="sv-SE"/>
              </w:rPr>
              <w:t>epochTime</w:t>
            </w:r>
            <w:r w:rsidRPr="007D7ABA">
              <w:rPr>
                <w:rFonts w:ascii="Times New Roman" w:eastAsia="Times New Roman" w:hAnsi="Times New Roman" w:cs="Times New Roman"/>
                <w:bCs/>
                <w:iCs/>
                <w:sz w:val="20"/>
                <w:szCs w:val="22"/>
                <w:lang w:val="en-GB" w:eastAsia="sv-SE"/>
              </w:rPr>
              <w:t xml:space="preserve"> is received. The reference point for epoch time of the </w:t>
            </w:r>
            <w:r w:rsidRPr="002D7709">
              <w:rPr>
                <w:rFonts w:ascii="Times New Roman" w:eastAsia="Times New Roman" w:hAnsi="Times New Roman" w:cs="Times New Roman"/>
                <w:bCs/>
                <w:iCs/>
                <w:sz w:val="20"/>
                <w:szCs w:val="22"/>
                <w:lang w:val="en-GB" w:eastAsia="sv-SE"/>
              </w:rPr>
              <w:t>serving NTN payload ephemeris and Common TA parameters is the uplink time synchronization reference point.</w:t>
            </w:r>
            <w:r w:rsidRPr="002D7709">
              <w:rPr>
                <w:rFonts w:ascii="Times New Roman" w:eastAsia="Times New Roman" w:hAnsi="Times New Roman" w:cs="Times New Roman"/>
                <w:sz w:val="20"/>
                <w:szCs w:val="20"/>
                <w:lang w:val="en-GB" w:eastAsia="ja-JP"/>
              </w:rPr>
              <w:t xml:space="preserve"> </w:t>
            </w:r>
            <w:r w:rsidRPr="002D7709">
              <w:rPr>
                <w:rFonts w:ascii="Times New Roman" w:hAnsi="Times New Roman" w:cs="Times New Roman"/>
                <w:sz w:val="20"/>
                <w:szCs w:val="20"/>
                <w:highlight w:val="yellow"/>
                <w:lang w:eastAsia="ja-JP"/>
              </w:rPr>
              <w:t>If this field is absent, the epoch time is the end of SI window where this SIB19 is scheduled.</w:t>
            </w:r>
            <w:r w:rsidRPr="002D7709">
              <w:rPr>
                <w:rFonts w:ascii="Times New Roman" w:eastAsia="Times New Roman" w:hAnsi="Times New Roman" w:cs="Times New Roman"/>
                <w:sz w:val="20"/>
                <w:szCs w:val="20"/>
                <w:lang w:val="en-GB" w:eastAsia="ja-JP"/>
              </w:rPr>
              <w:t xml:space="preserve"> This field is mandatory present when provided in dedicated configuration. If this field is absent in </w:t>
            </w:r>
            <w:r w:rsidRPr="002D7709">
              <w:rPr>
                <w:rFonts w:ascii="Times New Roman" w:eastAsia="Times New Roman" w:hAnsi="Times New Roman" w:cs="Times New Roman"/>
                <w:i/>
                <w:iCs/>
                <w:sz w:val="20"/>
                <w:szCs w:val="20"/>
                <w:lang w:val="en-GB" w:eastAsia="ja-JP"/>
              </w:rPr>
              <w:t>ntn-Config</w:t>
            </w:r>
            <w:r w:rsidRPr="002D7709">
              <w:rPr>
                <w:rFonts w:ascii="Times New Roman" w:eastAsia="Times New Roman" w:hAnsi="Times New Roman" w:cs="Times New Roman"/>
                <w:sz w:val="20"/>
                <w:szCs w:val="20"/>
                <w:lang w:val="en-GB" w:eastAsia="ja-JP"/>
              </w:rPr>
              <w:t xml:space="preserve"> provided via </w:t>
            </w:r>
            <w:r w:rsidRPr="002D7709">
              <w:rPr>
                <w:rFonts w:ascii="Times New Roman" w:eastAsia="Times New Roman" w:hAnsi="Times New Roman" w:cs="Times New Roman"/>
                <w:i/>
                <w:iCs/>
                <w:sz w:val="20"/>
                <w:szCs w:val="20"/>
                <w:lang w:val="en-GB" w:eastAsia="ja-JP"/>
              </w:rPr>
              <w:t>NTN-NeighCellConfig</w:t>
            </w:r>
            <w:r w:rsidRPr="002D7709">
              <w:rPr>
                <w:rFonts w:ascii="Times New Roman" w:eastAsia="Times New Roman" w:hAnsi="Times New Roman" w:cs="Times New Roman"/>
                <w:sz w:val="20"/>
                <w:szCs w:val="20"/>
                <w:lang w:val="en-GB" w:eastAsia="ja-JP"/>
              </w:rPr>
              <w:t xml:space="preserve"> the UE uses epoch time of the serving cell, otherwise the field is based on the timing of the serving cell, </w:t>
            </w:r>
            <w:proofErr w:type="gramStart"/>
            <w:r w:rsidRPr="002D7709">
              <w:rPr>
                <w:rFonts w:ascii="Times New Roman" w:eastAsia="Times New Roman" w:hAnsi="Times New Roman" w:cs="Times New Roman"/>
                <w:sz w:val="20"/>
                <w:szCs w:val="20"/>
                <w:lang w:val="en-GB" w:eastAsia="ja-JP"/>
              </w:rPr>
              <w:t>i.e.</w:t>
            </w:r>
            <w:proofErr w:type="gramEnd"/>
            <w:r w:rsidRPr="007D7ABA">
              <w:rPr>
                <w:rFonts w:ascii="Times New Roman" w:eastAsia="Times New Roman" w:hAnsi="Times New Roman" w:cs="Times New Roman"/>
                <w:sz w:val="20"/>
                <w:szCs w:val="20"/>
                <w:lang w:val="en-GB" w:eastAsia="ja-JP"/>
              </w:rPr>
              <w:t xml:space="preserve"> the SFN and sub-frame number indicated in this field refers to the SFN and sub-frame of the serving cell. In case of handover or conditional handover, this field is based on the timing of the target cell, </w:t>
            </w:r>
            <w:proofErr w:type="gramStart"/>
            <w:r w:rsidRPr="007D7ABA">
              <w:rPr>
                <w:rFonts w:ascii="Times New Roman" w:eastAsia="Times New Roman" w:hAnsi="Times New Roman" w:cs="Times New Roman"/>
                <w:sz w:val="20"/>
                <w:szCs w:val="20"/>
                <w:lang w:val="en-GB" w:eastAsia="ja-JP"/>
              </w:rPr>
              <w:t>i.e.</w:t>
            </w:r>
            <w:proofErr w:type="gramEnd"/>
            <w:r w:rsidRPr="007D7ABA">
              <w:rPr>
                <w:rFonts w:ascii="Times New Roman" w:eastAsia="Times New Roman" w:hAnsi="Times New Roman" w:cs="Times New Roman"/>
                <w:sz w:val="20"/>
                <w:szCs w:val="20"/>
                <w:lang w:val="en-GB" w:eastAsia="ja-JP"/>
              </w:rPr>
              <w:t xml:space="preserve"> the SFN and sub-frame number indicated in this field refers to the SFN and sub-frame of the target cell. For the target cell the UE considers epoch time, indicated by the SFN and sub-frame number in this field, to be the frame nearest to the frame in which the message indicating the epoch time is received. </w:t>
            </w:r>
            <w:r w:rsidRPr="007D7ABA">
              <w:rPr>
                <w:rFonts w:ascii="Times New Roman" w:eastAsia="SimSun" w:hAnsi="Times New Roman" w:cs="Times New Roman"/>
                <w:sz w:val="20"/>
                <w:szCs w:val="20"/>
                <w:lang w:val="en-GB" w:eastAsia="zh-CN"/>
              </w:rPr>
              <w:t xml:space="preserve">This field is excluded when determining changes in system information, </w:t>
            </w:r>
            <w:proofErr w:type="gramStart"/>
            <w:r w:rsidRPr="007D7ABA">
              <w:rPr>
                <w:rFonts w:ascii="Times New Roman" w:eastAsia="SimSun" w:hAnsi="Times New Roman" w:cs="Times New Roman"/>
                <w:sz w:val="20"/>
                <w:szCs w:val="20"/>
                <w:lang w:val="en-GB" w:eastAsia="zh-CN"/>
              </w:rPr>
              <w:t>i.e.</w:t>
            </w:r>
            <w:proofErr w:type="gramEnd"/>
            <w:r w:rsidRPr="007D7ABA">
              <w:rPr>
                <w:rFonts w:ascii="Times New Roman" w:eastAsia="SimSun" w:hAnsi="Times New Roman" w:cs="Times New Roman"/>
                <w:sz w:val="20"/>
                <w:szCs w:val="20"/>
                <w:lang w:val="en-GB" w:eastAsia="zh-CN"/>
              </w:rPr>
              <w:t xml:space="preserve"> </w:t>
            </w:r>
            <w:r w:rsidRPr="007D7ABA">
              <w:rPr>
                <w:rFonts w:ascii="Times New Roman" w:eastAsia="Times New Roman" w:hAnsi="Times New Roman" w:cs="Times New Roman"/>
                <w:sz w:val="20"/>
                <w:szCs w:val="20"/>
                <w:lang w:val="en-GB" w:eastAsia="sv-SE"/>
              </w:rPr>
              <w:t xml:space="preserve">changes to </w:t>
            </w:r>
            <w:r w:rsidRPr="007D7ABA">
              <w:rPr>
                <w:rFonts w:ascii="Times New Roman" w:eastAsia="Times New Roman" w:hAnsi="Times New Roman" w:cs="Times New Roman"/>
                <w:i/>
                <w:sz w:val="20"/>
                <w:szCs w:val="20"/>
                <w:lang w:val="en-GB" w:eastAsia="sv-SE"/>
              </w:rPr>
              <w:t>epochTime</w:t>
            </w:r>
            <w:r w:rsidRPr="007D7ABA">
              <w:rPr>
                <w:rFonts w:ascii="Times New Roman" w:eastAsia="Times New Roman" w:hAnsi="Times New Roman" w:cs="Times New Roman"/>
                <w:sz w:val="20"/>
                <w:szCs w:val="20"/>
                <w:lang w:val="en-GB" w:eastAsia="sv-SE"/>
              </w:rPr>
              <w:t xml:space="preserve"> should neither result in system information change notifications nor in a modification of </w:t>
            </w:r>
            <w:r w:rsidRPr="007D7ABA">
              <w:rPr>
                <w:rFonts w:ascii="Times New Roman" w:eastAsia="Times New Roman" w:hAnsi="Times New Roman" w:cs="Times New Roman"/>
                <w:i/>
                <w:sz w:val="20"/>
                <w:szCs w:val="20"/>
                <w:lang w:val="en-GB" w:eastAsia="sv-SE"/>
              </w:rPr>
              <w:t>valueTag</w:t>
            </w:r>
            <w:r w:rsidRPr="007D7ABA">
              <w:rPr>
                <w:rFonts w:ascii="Times New Roman" w:eastAsia="Times New Roman" w:hAnsi="Times New Roman" w:cs="Times New Roman"/>
                <w:sz w:val="20"/>
                <w:szCs w:val="20"/>
                <w:lang w:val="en-GB" w:eastAsia="sv-SE"/>
              </w:rPr>
              <w:t xml:space="preserve"> in </w:t>
            </w:r>
            <w:r w:rsidRPr="007D7ABA">
              <w:rPr>
                <w:rFonts w:ascii="Times New Roman" w:eastAsia="Times New Roman" w:hAnsi="Times New Roman" w:cs="Times New Roman"/>
                <w:i/>
                <w:iCs/>
                <w:sz w:val="20"/>
                <w:szCs w:val="20"/>
                <w:lang w:val="en-GB" w:eastAsia="sv-SE"/>
              </w:rPr>
              <w:t>SIB1</w:t>
            </w:r>
            <w:r w:rsidRPr="007D7ABA">
              <w:rPr>
                <w:rFonts w:ascii="Times New Roman" w:eastAsia="Times New Roman" w:hAnsi="Times New Roman" w:cs="Times New Roman"/>
                <w:sz w:val="20"/>
                <w:szCs w:val="20"/>
                <w:lang w:val="en-GB" w:eastAsia="sv-SE"/>
              </w:rPr>
              <w:t>.</w:t>
            </w:r>
          </w:p>
          <w:p w14:paraId="2BF3AF62" w14:textId="31DED699" w:rsidR="00F2790C" w:rsidRPr="00B827DD" w:rsidRDefault="00F2790C" w:rsidP="002D7709">
            <w:pPr>
              <w:pStyle w:val="NormalWeb"/>
              <w:jc w:val="both"/>
              <w:rPr>
                <w:lang w:val="en-GB"/>
              </w:rPr>
            </w:pPr>
          </w:p>
        </w:tc>
      </w:tr>
    </w:tbl>
    <w:p w14:paraId="47E20FC7" w14:textId="1D74C814" w:rsidR="002107F7" w:rsidRPr="00287130" w:rsidRDefault="00A11D76" w:rsidP="002D7709">
      <w:pPr>
        <w:jc w:val="both"/>
      </w:pPr>
      <w:r>
        <w:br/>
      </w:r>
      <w:r w:rsidR="00D32F06">
        <w:t xml:space="preserve">However, </w:t>
      </w:r>
      <w:r w:rsidR="00F41CF2">
        <w:t>this might be a problem</w:t>
      </w:r>
      <w:r w:rsidR="00DB6089">
        <w:t xml:space="preserve"> when </w:t>
      </w:r>
      <w:r w:rsidR="00A07828">
        <w:t xml:space="preserve">short SI-Windows are used or </w:t>
      </w:r>
      <w:r w:rsidR="00B21652">
        <w:t xml:space="preserve">when the SIB </w:t>
      </w:r>
      <w:r w:rsidR="006E05BD">
        <w:t xml:space="preserve">occasion being read by the UE is close to the edge of the SI-Window. </w:t>
      </w:r>
      <w:r w:rsidR="00670BFE">
        <w:t>This is depicted using a SI-Window of 5 ms as example in</w:t>
      </w:r>
      <w:r w:rsidR="007F080B">
        <w:t xml:space="preserve"> Figure 1</w:t>
      </w:r>
      <w:r w:rsidR="00AC6AA3">
        <w:t xml:space="preserve">. There are 3 SIB19 occasions </w:t>
      </w:r>
      <w:r w:rsidR="003F4D0D">
        <w:t xml:space="preserve">within this window. The last one is too close to </w:t>
      </w:r>
      <w:r w:rsidR="00BF4E8D">
        <w:t xml:space="preserve">the edge of the SI-Window, and the UE might not be able to react in time to start the T430 </w:t>
      </w:r>
      <w:r w:rsidR="0054046F" w:rsidRPr="00B827DD">
        <w:rPr>
          <w:u w:val="single"/>
        </w:rPr>
        <w:t>at</w:t>
      </w:r>
      <w:r w:rsidR="00BF4E8D">
        <w:t xml:space="preserve"> epoch time. In fact, for this example, even the two first occasions might be </w:t>
      </w:r>
      <w:r w:rsidR="006A37BF">
        <w:t xml:space="preserve">out of </w:t>
      </w:r>
      <w:r w:rsidR="006D3379">
        <w:t xml:space="preserve">feasibility for UE processing intervals. </w:t>
      </w:r>
      <w:r w:rsidR="00176116">
        <w:t xml:space="preserve">As for all other RRC procedures, RAN2 </w:t>
      </w:r>
      <w:r w:rsidR="008E34C6">
        <w:t xml:space="preserve">needs to account for processing delays in the acquisition of satellite assistance information. </w:t>
      </w:r>
    </w:p>
    <w:p w14:paraId="25816DE4" w14:textId="77777777" w:rsidR="00287130" w:rsidRPr="00287130" w:rsidRDefault="00287130" w:rsidP="002D7709">
      <w:pPr>
        <w:jc w:val="both"/>
      </w:pPr>
    </w:p>
    <w:p w14:paraId="75E4E590" w14:textId="5CC6F9D0" w:rsidR="006103D4" w:rsidRDefault="00670BFE" w:rsidP="002D7709">
      <w:pPr>
        <w:keepNext/>
        <w:jc w:val="both"/>
      </w:pPr>
      <w:r>
        <w:rPr>
          <w:noProof/>
        </w:rPr>
        <w:drawing>
          <wp:inline distT="0" distB="0" distL="0" distR="0" wp14:anchorId="7D160155" wp14:editId="02CD584D">
            <wp:extent cx="6248400" cy="28232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66203" cy="2831262"/>
                    </a:xfrm>
                    <a:prstGeom prst="rect">
                      <a:avLst/>
                    </a:prstGeom>
                    <a:noFill/>
                  </pic:spPr>
                </pic:pic>
              </a:graphicData>
            </a:graphic>
          </wp:inline>
        </w:drawing>
      </w:r>
    </w:p>
    <w:p w14:paraId="4B14F958" w14:textId="2ECD05FC" w:rsidR="008652A1" w:rsidRPr="00287130" w:rsidRDefault="006103D4" w:rsidP="002D7709">
      <w:pPr>
        <w:pStyle w:val="Caption"/>
        <w:jc w:val="both"/>
      </w:pPr>
      <w:bookmarkStart w:id="0" w:name="_Ref118288690"/>
      <w:r>
        <w:t xml:space="preserve">Figure </w:t>
      </w:r>
      <w:bookmarkEnd w:id="0"/>
      <w:r w:rsidR="00645C28">
        <w:t xml:space="preserve">1 </w:t>
      </w:r>
      <w:r w:rsidR="00670BFE">
        <w:t xml:space="preserve">Example of SIB19 transmissions with implicit indication of epoch time </w:t>
      </w:r>
      <w:r w:rsidR="00EA5473">
        <w:t xml:space="preserve">in a SI-Window of 5 ms. </w:t>
      </w:r>
    </w:p>
    <w:p w14:paraId="3E628291" w14:textId="7789D222" w:rsidR="008E34C6" w:rsidRPr="008E34C6" w:rsidRDefault="008E34C6" w:rsidP="002D7709">
      <w:pPr>
        <w:jc w:val="both"/>
      </w:pPr>
      <w:r>
        <w:rPr>
          <w:b/>
          <w:bCs/>
        </w:rPr>
        <w:t xml:space="preserve">Proposal </w:t>
      </w:r>
      <w:r w:rsidR="007F080B">
        <w:rPr>
          <w:b/>
          <w:bCs/>
        </w:rPr>
        <w:t>2</w:t>
      </w:r>
      <w:r>
        <w:rPr>
          <w:b/>
          <w:bCs/>
        </w:rPr>
        <w:t xml:space="preserve">: RAN2 to account for processing delays </w:t>
      </w:r>
      <w:r w:rsidR="00610BA4">
        <w:rPr>
          <w:b/>
          <w:bCs/>
        </w:rPr>
        <w:t xml:space="preserve">in the acquisition of satellite assistance information in SIB19 and update the implicit indication of epoch time: “If this field is absent, the epoch time is the end of the SI window where this SIB19 is scheduled plus </w:t>
      </w:r>
      <w:r w:rsidR="00151A95">
        <w:rPr>
          <w:b/>
          <w:bCs/>
        </w:rPr>
        <w:t>UE</w:t>
      </w:r>
      <w:r w:rsidR="004E183A">
        <w:rPr>
          <w:b/>
          <w:bCs/>
        </w:rPr>
        <w:t xml:space="preserve"> processing interval</w:t>
      </w:r>
      <w:r w:rsidR="00411EFC">
        <w:rPr>
          <w:b/>
          <w:bCs/>
        </w:rPr>
        <w:t>”.</w:t>
      </w:r>
    </w:p>
    <w:p w14:paraId="69B7B8E6" w14:textId="6BA1CF4F" w:rsidR="009339CB" w:rsidRPr="006E13D1" w:rsidRDefault="005A13AB" w:rsidP="002D7709">
      <w:pPr>
        <w:pStyle w:val="Heading1"/>
        <w:jc w:val="both"/>
      </w:pPr>
      <w:r>
        <w:t>3</w:t>
      </w:r>
      <w:r w:rsidR="009339CB" w:rsidRPr="006E13D1">
        <w:tab/>
      </w:r>
      <w:r w:rsidR="009339CB">
        <w:t>Conclusion</w:t>
      </w:r>
    </w:p>
    <w:p w14:paraId="6E24B0F4" w14:textId="19BE7ABD" w:rsidR="009339CB" w:rsidRPr="006E13D1" w:rsidRDefault="009339CB" w:rsidP="002D7709">
      <w:pPr>
        <w:jc w:val="both"/>
      </w:pPr>
      <w:r>
        <w:t>This document has made the following observations</w:t>
      </w:r>
      <w:r w:rsidR="005F2708">
        <w:t xml:space="preserve"> and proposals</w:t>
      </w:r>
      <w:r>
        <w:t>:</w:t>
      </w:r>
    </w:p>
    <w:p w14:paraId="1B3F0E60" w14:textId="77777777" w:rsidR="002D7709" w:rsidRPr="002D7709" w:rsidRDefault="002D7709" w:rsidP="002D7709">
      <w:pPr>
        <w:jc w:val="both"/>
        <w:rPr>
          <w:b/>
          <w:bCs/>
        </w:rPr>
      </w:pPr>
      <w:bookmarkStart w:id="1" w:name="_Toc116995849"/>
      <w:r w:rsidRPr="002D7709">
        <w:rPr>
          <w:b/>
          <w:bCs/>
        </w:rPr>
        <w:t>Observation 1: As per RAN2 decisions, the NTN UE can transmit in UL even though the timer T430 is not running</w:t>
      </w:r>
      <w:r>
        <w:rPr>
          <w:b/>
          <w:bCs/>
        </w:rPr>
        <w:t>, assuming the NOTE describes a binding behavior</w:t>
      </w:r>
      <w:r w:rsidRPr="002D7709">
        <w:rPr>
          <w:b/>
          <w:bCs/>
        </w:rPr>
        <w:t>.</w:t>
      </w:r>
    </w:p>
    <w:p w14:paraId="0706A79C" w14:textId="77777777" w:rsidR="002D7709" w:rsidRPr="002D7709" w:rsidRDefault="002D7709" w:rsidP="002D7709">
      <w:pPr>
        <w:jc w:val="both"/>
        <w:rPr>
          <w:b/>
          <w:bCs/>
        </w:rPr>
      </w:pPr>
      <w:r w:rsidRPr="002D7709">
        <w:rPr>
          <w:b/>
          <w:bCs/>
        </w:rPr>
        <w:t>Observation 2: As per current 38.331 excerpts on T430, its role is neither to control whether the UE has obtained the information (such as System Information or RRC Reconfiguration) which may allow to obtain UL sync, nor to control the status of UL sync.</w:t>
      </w:r>
    </w:p>
    <w:p w14:paraId="7110F8FB" w14:textId="77777777" w:rsidR="002D7709" w:rsidRPr="002D7709" w:rsidRDefault="002D7709" w:rsidP="002D7709">
      <w:pPr>
        <w:jc w:val="both"/>
        <w:rPr>
          <w:b/>
          <w:bCs/>
        </w:rPr>
      </w:pPr>
      <w:r w:rsidRPr="002D7709">
        <w:rPr>
          <w:b/>
          <w:bCs/>
        </w:rPr>
        <w:t>Observation 3: There seems to be a large deviation from what the T430/ UlSyncValidityDuration was intended to be used for and how other WGs (</w:t>
      </w:r>
      <w:proofErr w:type="gramStart"/>
      <w:r w:rsidRPr="002D7709">
        <w:rPr>
          <w:b/>
          <w:bCs/>
        </w:rPr>
        <w:t>e.g.</w:t>
      </w:r>
      <w:proofErr w:type="gramEnd"/>
      <w:r w:rsidRPr="002D7709">
        <w:rPr>
          <w:b/>
          <w:bCs/>
        </w:rPr>
        <w:t xml:space="preserve"> RAN1) perceive the role of </w:t>
      </w:r>
      <w:r>
        <w:rPr>
          <w:b/>
          <w:bCs/>
        </w:rPr>
        <w:t xml:space="preserve">T430 </w:t>
      </w:r>
      <w:r w:rsidRPr="002D7709">
        <w:rPr>
          <w:b/>
          <w:bCs/>
        </w:rPr>
        <w:t>or UlSyncValidityDuration.</w:t>
      </w:r>
    </w:p>
    <w:p w14:paraId="73D9AFBD" w14:textId="77777777" w:rsidR="002D7709" w:rsidRPr="002D7709" w:rsidRDefault="002D7709" w:rsidP="002D7709">
      <w:pPr>
        <w:jc w:val="both"/>
        <w:rPr>
          <w:b/>
          <w:bCs/>
        </w:rPr>
      </w:pPr>
      <w:r w:rsidRPr="002D7709">
        <w:rPr>
          <w:b/>
          <w:bCs/>
        </w:rPr>
        <w:t xml:space="preserve">Proposal 1: RAN2 is asked to reconsider if the definitions of T430 or UlSyncValidityDuration are as intended. </w:t>
      </w:r>
    </w:p>
    <w:p w14:paraId="7C7064CE" w14:textId="23365C90" w:rsidR="00367DE9" w:rsidRPr="00F35980" w:rsidRDefault="002D7709" w:rsidP="002D7709">
      <w:pPr>
        <w:jc w:val="both"/>
      </w:pPr>
      <w:r>
        <w:rPr>
          <w:b/>
          <w:bCs/>
        </w:rPr>
        <w:t>Proposal 2: RAN2 to account for processing delays in the acquisition of satellite assistance information in SIB19 and update the implicit indication of epoch time: “If this field is absent, the epoch time is the end of the SI window where this SIB19 is scheduled plus UE processing interval”.</w:t>
      </w:r>
    </w:p>
    <w:p w14:paraId="7ED826BF" w14:textId="77777777" w:rsidR="00367DE9" w:rsidRPr="00EF698B" w:rsidRDefault="00367DE9" w:rsidP="002D7709">
      <w:pPr>
        <w:pStyle w:val="RAN4H1"/>
        <w:numPr>
          <w:ilvl w:val="0"/>
          <w:numId w:val="0"/>
        </w:numPr>
        <w:ind w:left="360" w:hanging="360"/>
        <w:jc w:val="both"/>
        <w:rPr>
          <w:lang w:val="en-US"/>
        </w:rPr>
      </w:pPr>
      <w:bookmarkStart w:id="2" w:name="_Toc117684841"/>
      <w:bookmarkStart w:id="3" w:name="_Toc117775792"/>
      <w:bookmarkStart w:id="4" w:name="_Toc117775829"/>
      <w:r w:rsidRPr="00EF698B">
        <w:rPr>
          <w:lang w:val="en-US"/>
        </w:rPr>
        <w:lastRenderedPageBreak/>
        <w:t>References</w:t>
      </w:r>
      <w:bookmarkEnd w:id="1"/>
      <w:bookmarkEnd w:id="2"/>
      <w:bookmarkEnd w:id="3"/>
      <w:bookmarkEnd w:id="4"/>
    </w:p>
    <w:p w14:paraId="45536D97" w14:textId="4B80B1EB" w:rsidR="00367DE9" w:rsidRPr="00A11D76" w:rsidRDefault="00EA5F89" w:rsidP="002D7709">
      <w:pPr>
        <w:numPr>
          <w:ilvl w:val="0"/>
          <w:numId w:val="19"/>
        </w:numPr>
        <w:overflowPunct w:val="0"/>
        <w:autoSpaceDE w:val="0"/>
        <w:autoSpaceDN w:val="0"/>
        <w:adjustRightInd w:val="0"/>
        <w:spacing w:after="0"/>
        <w:jc w:val="both"/>
        <w:textAlignment w:val="baseline"/>
      </w:pPr>
      <w:bookmarkStart w:id="5" w:name="_Ref114500673"/>
      <w:bookmarkStart w:id="6" w:name="_Hlk92129218"/>
      <w:bookmarkStart w:id="7" w:name="_Ref114761755"/>
      <w:bookmarkEnd w:id="5"/>
      <w:r w:rsidRPr="00554BD5">
        <w:t xml:space="preserve">R2-2211048 </w:t>
      </w:r>
      <w:r w:rsidR="00410570" w:rsidRPr="00410570">
        <w:t>LS on validity of assistance information</w:t>
      </w:r>
      <w:r w:rsidR="00955046">
        <w:t xml:space="preserve"> 3GPP TSG RAN WG2#119bis Online, 10th-19th October 2022</w:t>
      </w:r>
    </w:p>
    <w:p w14:paraId="35F222F4" w14:textId="32C04405" w:rsidR="00080512" w:rsidRPr="002D7709" w:rsidRDefault="00367DE9" w:rsidP="002D7709">
      <w:pPr>
        <w:numPr>
          <w:ilvl w:val="0"/>
          <w:numId w:val="19"/>
        </w:numPr>
        <w:overflowPunct w:val="0"/>
        <w:autoSpaceDE w:val="0"/>
        <w:autoSpaceDN w:val="0"/>
        <w:adjustRightInd w:val="0"/>
        <w:spacing w:after="0"/>
        <w:jc w:val="both"/>
        <w:textAlignment w:val="baseline"/>
      </w:pPr>
      <w:bookmarkStart w:id="8" w:name="_Ref118130224"/>
      <w:r w:rsidRPr="00A11D76">
        <w:t>TS 38.331</w:t>
      </w:r>
      <w:r w:rsidR="00027D91">
        <w:t xml:space="preserve"> </w:t>
      </w:r>
      <w:r w:rsidRPr="00423A3D">
        <w:rPr>
          <w:i/>
          <w:iCs/>
          <w:color w:val="000000"/>
        </w:rPr>
        <w:t>NR; Radio Resource Control (RRC); Protocol specification</w:t>
      </w:r>
      <w:r w:rsidRPr="00423A3D">
        <w:rPr>
          <w:color w:val="000000"/>
        </w:rPr>
        <w:t>, V17.</w:t>
      </w:r>
      <w:r w:rsidR="00C32EBB">
        <w:rPr>
          <w:color w:val="000000"/>
        </w:rPr>
        <w:t>3</w:t>
      </w:r>
      <w:r w:rsidRPr="00423A3D">
        <w:rPr>
          <w:color w:val="000000"/>
        </w:rPr>
        <w:t>.0</w:t>
      </w:r>
      <w:bookmarkEnd w:id="6"/>
      <w:bookmarkEnd w:id="7"/>
      <w:bookmarkEnd w:id="8"/>
    </w:p>
    <w:p w14:paraId="150F6D44" w14:textId="097F1551" w:rsidR="008A0623" w:rsidRDefault="008A0623" w:rsidP="002D7709">
      <w:pPr>
        <w:numPr>
          <w:ilvl w:val="0"/>
          <w:numId w:val="19"/>
        </w:numPr>
        <w:overflowPunct w:val="0"/>
        <w:autoSpaceDE w:val="0"/>
        <w:autoSpaceDN w:val="0"/>
        <w:adjustRightInd w:val="0"/>
        <w:spacing w:after="0"/>
        <w:jc w:val="both"/>
        <w:textAlignment w:val="baseline"/>
      </w:pPr>
      <w:bookmarkStart w:id="9" w:name="_Ref127285185"/>
      <w:r w:rsidRPr="008A0623">
        <w:t>R2-2213028    RRC corrections for Rel-17 NR NTN           Ericsson           CR        Rel-17   38.331</w:t>
      </w:r>
      <w:bookmarkEnd w:id="9"/>
      <w:r w:rsidR="00645C28">
        <w:t xml:space="preserve"> 3GPP TSG RAN WG2#120 November 2022</w:t>
      </w:r>
    </w:p>
    <w:p w14:paraId="630D8E3A" w14:textId="76BE5848" w:rsidR="008A0623" w:rsidRPr="00A11D76" w:rsidRDefault="008A0623" w:rsidP="002D7709">
      <w:pPr>
        <w:numPr>
          <w:ilvl w:val="0"/>
          <w:numId w:val="19"/>
        </w:numPr>
        <w:overflowPunct w:val="0"/>
        <w:autoSpaceDE w:val="0"/>
        <w:autoSpaceDN w:val="0"/>
        <w:adjustRightInd w:val="0"/>
        <w:spacing w:after="0"/>
        <w:jc w:val="both"/>
        <w:textAlignment w:val="baseline"/>
      </w:pPr>
      <w:bookmarkStart w:id="10" w:name="_Ref127285482"/>
      <w:r>
        <w:t xml:space="preserve">R2-2213001 </w:t>
      </w:r>
      <w:r w:rsidRPr="008A0623">
        <w:t xml:space="preserve">Report from Break-out session on NR-NTN, IoT-NTN, </w:t>
      </w:r>
      <w:proofErr w:type="gramStart"/>
      <w:r w:rsidRPr="008A0623">
        <w:t>RedCap</w:t>
      </w:r>
      <w:proofErr w:type="gramEnd"/>
      <w:r w:rsidRPr="008A0623">
        <w:t xml:space="preserve"> and CE</w:t>
      </w:r>
      <w:r>
        <w:t xml:space="preserve"> 3GPP TSG RAN WG2#120 November 2022</w:t>
      </w:r>
      <w:bookmarkEnd w:id="10"/>
    </w:p>
    <w:p w14:paraId="15CA918A" w14:textId="1A16330B" w:rsidR="008A0623" w:rsidRPr="00A209D6" w:rsidRDefault="008A0623" w:rsidP="002D7709">
      <w:pPr>
        <w:overflowPunct w:val="0"/>
        <w:autoSpaceDE w:val="0"/>
        <w:autoSpaceDN w:val="0"/>
        <w:adjustRightInd w:val="0"/>
        <w:spacing w:after="0"/>
        <w:ind w:left="360"/>
        <w:jc w:val="both"/>
        <w:textAlignment w:val="baseline"/>
      </w:pPr>
    </w:p>
    <w:sectPr w:rsidR="008A0623"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22EF4" w14:textId="77777777" w:rsidR="00081406" w:rsidRDefault="00081406">
      <w:r>
        <w:separator/>
      </w:r>
    </w:p>
  </w:endnote>
  <w:endnote w:type="continuationSeparator" w:id="0">
    <w:p w14:paraId="26F764E6" w14:textId="77777777" w:rsidR="00081406" w:rsidRDefault="00081406">
      <w:r>
        <w:continuationSeparator/>
      </w:r>
    </w:p>
  </w:endnote>
  <w:endnote w:type="continuationNotice" w:id="1">
    <w:p w14:paraId="59F0EA89" w14:textId="77777777" w:rsidR="00081406" w:rsidRDefault="000814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7D910" w14:textId="77777777" w:rsidR="00081406" w:rsidRDefault="00081406">
      <w:r>
        <w:separator/>
      </w:r>
    </w:p>
  </w:footnote>
  <w:footnote w:type="continuationSeparator" w:id="0">
    <w:p w14:paraId="05403F94" w14:textId="77777777" w:rsidR="00081406" w:rsidRDefault="00081406">
      <w:r>
        <w:continuationSeparator/>
      </w:r>
    </w:p>
  </w:footnote>
  <w:footnote w:type="continuationNotice" w:id="1">
    <w:p w14:paraId="313C45CB" w14:textId="77777777" w:rsidR="00081406" w:rsidRDefault="000814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262332"/>
    <w:multiLevelType w:val="hybridMultilevel"/>
    <w:tmpl w:val="C03E9CE8"/>
    <w:lvl w:ilvl="0" w:tplc="F5E6FE20">
      <w:start w:val="2"/>
      <w:numFmt w:val="bullet"/>
      <w:lvlText w:val="-"/>
      <w:lvlJc w:val="left"/>
      <w:pPr>
        <w:ind w:left="720" w:hanging="360"/>
      </w:pPr>
      <w:rPr>
        <w:rFonts w:ascii="Times New Roman" w:eastAsia="Times New Roman" w:hAnsi="Times New Roman" w:cs="Times New Roman"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A36677D"/>
    <w:multiLevelType w:val="hybridMultilevel"/>
    <w:tmpl w:val="F9665BE4"/>
    <w:lvl w:ilvl="0" w:tplc="0809000F">
      <w:start w:val="1"/>
      <w:numFmt w:val="decimal"/>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15:restartNumberingAfterBreak="0">
    <w:nsid w:val="10850228"/>
    <w:multiLevelType w:val="hybridMultilevel"/>
    <w:tmpl w:val="F9665BE4"/>
    <w:lvl w:ilvl="0" w:tplc="FFFFFFFF">
      <w:start w:val="1"/>
      <w:numFmt w:val="decimal"/>
      <w:lvlText w:val="%1."/>
      <w:lvlJc w:val="left"/>
      <w:pPr>
        <w:ind w:left="840" w:hanging="420"/>
      </w:pPr>
    </w:lvl>
    <w:lvl w:ilvl="1" w:tplc="FFFFFFFF">
      <w:start w:val="1"/>
      <w:numFmt w:val="lowerLetter"/>
      <w:lvlText w:val="%2)"/>
      <w:lvlJc w:val="left"/>
      <w:pPr>
        <w:ind w:left="1260" w:hanging="420"/>
      </w:pPr>
    </w:lvl>
    <w:lvl w:ilvl="2" w:tplc="FFFFFFFF">
      <w:start w:val="1"/>
      <w:numFmt w:val="lowerRoman"/>
      <w:lvlText w:val="%3."/>
      <w:lvlJc w:val="right"/>
      <w:pPr>
        <w:ind w:left="1680" w:hanging="420"/>
      </w:pPr>
    </w:lvl>
    <w:lvl w:ilvl="3" w:tplc="FFFFFFFF">
      <w:start w:val="1"/>
      <w:numFmt w:val="decimal"/>
      <w:lvlText w:val="%4."/>
      <w:lvlJc w:val="left"/>
      <w:pPr>
        <w:ind w:left="2100" w:hanging="420"/>
      </w:pPr>
    </w:lvl>
    <w:lvl w:ilvl="4" w:tplc="FFFFFFFF">
      <w:start w:val="1"/>
      <w:numFmt w:val="lowerLetter"/>
      <w:lvlText w:val="%5)"/>
      <w:lvlJc w:val="left"/>
      <w:pPr>
        <w:ind w:left="2520" w:hanging="420"/>
      </w:pPr>
    </w:lvl>
    <w:lvl w:ilvl="5" w:tplc="FFFFFFFF">
      <w:start w:val="1"/>
      <w:numFmt w:val="lowerRoman"/>
      <w:lvlText w:val="%6."/>
      <w:lvlJc w:val="right"/>
      <w:pPr>
        <w:ind w:left="2940" w:hanging="420"/>
      </w:pPr>
    </w:lvl>
    <w:lvl w:ilvl="6" w:tplc="FFFFFFFF">
      <w:start w:val="1"/>
      <w:numFmt w:val="decimal"/>
      <w:lvlText w:val="%7."/>
      <w:lvlJc w:val="left"/>
      <w:pPr>
        <w:ind w:left="3360" w:hanging="420"/>
      </w:pPr>
    </w:lvl>
    <w:lvl w:ilvl="7" w:tplc="FFFFFFFF">
      <w:start w:val="1"/>
      <w:numFmt w:val="lowerLetter"/>
      <w:lvlText w:val="%8)"/>
      <w:lvlJc w:val="left"/>
      <w:pPr>
        <w:ind w:left="3780" w:hanging="420"/>
      </w:pPr>
    </w:lvl>
    <w:lvl w:ilvl="8" w:tplc="FFFFFFFF">
      <w:start w:val="1"/>
      <w:numFmt w:val="lowerRoman"/>
      <w:lvlText w:val="%9."/>
      <w:lvlJc w:val="right"/>
      <w:pPr>
        <w:ind w:left="4200" w:hanging="420"/>
      </w:pPr>
    </w:lvl>
  </w:abstractNum>
  <w:abstractNum w:abstractNumId="5" w15:restartNumberingAfterBreak="0">
    <w:nsid w:val="177B735C"/>
    <w:multiLevelType w:val="hybridMultilevel"/>
    <w:tmpl w:val="DB4C7FB4"/>
    <w:lvl w:ilvl="0" w:tplc="0406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646411"/>
    <w:multiLevelType w:val="multilevel"/>
    <w:tmpl w:val="41AA63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8852232"/>
    <w:multiLevelType w:val="hybridMultilevel"/>
    <w:tmpl w:val="23A0392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2D460C74"/>
    <w:multiLevelType w:val="hybridMultilevel"/>
    <w:tmpl w:val="C9880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0A49E4"/>
    <w:multiLevelType w:val="hybridMultilevel"/>
    <w:tmpl w:val="F2E619C8"/>
    <w:lvl w:ilvl="0" w:tplc="0406000F">
      <w:start w:val="1"/>
      <w:numFmt w:val="decimal"/>
      <w:lvlText w:val="%1."/>
      <w:lvlJc w:val="left"/>
      <w:pPr>
        <w:ind w:left="360" w:hanging="360"/>
      </w:pPr>
      <w:rPr>
        <w:rFonts w:hint="default"/>
        <w:b w:val="0"/>
        <w:bCs w:val="0"/>
      </w:rPr>
    </w:lvl>
    <w:lvl w:ilvl="1" w:tplc="04060019" w:tentative="1">
      <w:start w:val="1"/>
      <w:numFmt w:val="lowerLetter"/>
      <w:lvlText w:val="%2."/>
      <w:lvlJc w:val="left"/>
      <w:pPr>
        <w:ind w:left="-545" w:hanging="360"/>
      </w:pPr>
    </w:lvl>
    <w:lvl w:ilvl="2" w:tplc="0406001B" w:tentative="1">
      <w:start w:val="1"/>
      <w:numFmt w:val="lowerRoman"/>
      <w:lvlText w:val="%3."/>
      <w:lvlJc w:val="right"/>
      <w:pPr>
        <w:ind w:left="175" w:hanging="180"/>
      </w:pPr>
    </w:lvl>
    <w:lvl w:ilvl="3" w:tplc="0406000F" w:tentative="1">
      <w:start w:val="1"/>
      <w:numFmt w:val="decimal"/>
      <w:lvlText w:val="%4."/>
      <w:lvlJc w:val="left"/>
      <w:pPr>
        <w:ind w:left="895" w:hanging="360"/>
      </w:pPr>
    </w:lvl>
    <w:lvl w:ilvl="4" w:tplc="04060019" w:tentative="1">
      <w:start w:val="1"/>
      <w:numFmt w:val="lowerLetter"/>
      <w:lvlText w:val="%5."/>
      <w:lvlJc w:val="left"/>
      <w:pPr>
        <w:ind w:left="1615" w:hanging="360"/>
      </w:pPr>
    </w:lvl>
    <w:lvl w:ilvl="5" w:tplc="0406001B" w:tentative="1">
      <w:start w:val="1"/>
      <w:numFmt w:val="lowerRoman"/>
      <w:lvlText w:val="%6."/>
      <w:lvlJc w:val="right"/>
      <w:pPr>
        <w:ind w:left="2335" w:hanging="180"/>
      </w:pPr>
    </w:lvl>
    <w:lvl w:ilvl="6" w:tplc="0406000F" w:tentative="1">
      <w:start w:val="1"/>
      <w:numFmt w:val="decimal"/>
      <w:lvlText w:val="%7."/>
      <w:lvlJc w:val="left"/>
      <w:pPr>
        <w:ind w:left="3055" w:hanging="360"/>
      </w:pPr>
    </w:lvl>
    <w:lvl w:ilvl="7" w:tplc="04060019" w:tentative="1">
      <w:start w:val="1"/>
      <w:numFmt w:val="lowerLetter"/>
      <w:lvlText w:val="%8."/>
      <w:lvlJc w:val="left"/>
      <w:pPr>
        <w:ind w:left="3775" w:hanging="360"/>
      </w:pPr>
    </w:lvl>
    <w:lvl w:ilvl="8" w:tplc="0406001B" w:tentative="1">
      <w:start w:val="1"/>
      <w:numFmt w:val="lowerRoman"/>
      <w:lvlText w:val="%9."/>
      <w:lvlJc w:val="right"/>
      <w:pPr>
        <w:ind w:left="4495" w:hanging="180"/>
      </w:pPr>
    </w:lvl>
  </w:abstractNum>
  <w:abstractNum w:abstractNumId="15" w15:restartNumberingAfterBreak="0">
    <w:nsid w:val="65024C5B"/>
    <w:multiLevelType w:val="hybridMultilevel"/>
    <w:tmpl w:val="C2D4D96C"/>
    <w:lvl w:ilvl="0" w:tplc="217E3A58">
      <w:start w:val="3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685"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6662FDB"/>
    <w:multiLevelType w:val="hybridMultilevel"/>
    <w:tmpl w:val="2760F7C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74540E1D"/>
    <w:multiLevelType w:val="multilevel"/>
    <w:tmpl w:val="2C5881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11"/>
  </w:num>
  <w:num w:numId="7">
    <w:abstractNumId w:val="12"/>
  </w:num>
  <w:num w:numId="8">
    <w:abstractNumId w:val="14"/>
  </w:num>
  <w:num w:numId="9">
    <w:abstractNumId w:val="18"/>
  </w:num>
  <w:num w:numId="10">
    <w:abstractNumId w:val="6"/>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7"/>
  </w:num>
  <w:num w:numId="14">
    <w:abstractNumId w:val="2"/>
  </w:num>
  <w:num w:numId="15">
    <w:abstractNumId w:val="7"/>
  </w:num>
  <w:num w:numId="16">
    <w:abstractNumId w:val="18"/>
  </w:num>
  <w:num w:numId="17">
    <w:abstractNumId w:val="6"/>
  </w:num>
  <w:num w:numId="18">
    <w:abstractNumId w:val="16"/>
  </w:num>
  <w:num w:numId="19">
    <w:abstractNumId w:val="13"/>
  </w:num>
  <w:num w:numId="20">
    <w:abstractNumId w:val="8"/>
  </w:num>
  <w:num w:numId="21">
    <w:abstractNumId w:val="5"/>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CAC"/>
    <w:rsid w:val="00006C10"/>
    <w:rsid w:val="0000796C"/>
    <w:rsid w:val="000106EF"/>
    <w:rsid w:val="00016557"/>
    <w:rsid w:val="00023C40"/>
    <w:rsid w:val="00027D91"/>
    <w:rsid w:val="00033397"/>
    <w:rsid w:val="00040095"/>
    <w:rsid w:val="00063D6D"/>
    <w:rsid w:val="00064A55"/>
    <w:rsid w:val="00065268"/>
    <w:rsid w:val="00073C9C"/>
    <w:rsid w:val="00076412"/>
    <w:rsid w:val="00080512"/>
    <w:rsid w:val="00081406"/>
    <w:rsid w:val="000847F4"/>
    <w:rsid w:val="000855EF"/>
    <w:rsid w:val="0008784F"/>
    <w:rsid w:val="00090468"/>
    <w:rsid w:val="00094568"/>
    <w:rsid w:val="000A260C"/>
    <w:rsid w:val="000B521F"/>
    <w:rsid w:val="000B7BCF"/>
    <w:rsid w:val="000C522B"/>
    <w:rsid w:val="000D383A"/>
    <w:rsid w:val="000D58AB"/>
    <w:rsid w:val="000E3DE8"/>
    <w:rsid w:val="000F2A0A"/>
    <w:rsid w:val="000F6801"/>
    <w:rsid w:val="00105490"/>
    <w:rsid w:val="00111799"/>
    <w:rsid w:val="00112F1A"/>
    <w:rsid w:val="00120F4A"/>
    <w:rsid w:val="00123ABF"/>
    <w:rsid w:val="00136CA8"/>
    <w:rsid w:val="00142C36"/>
    <w:rsid w:val="00145075"/>
    <w:rsid w:val="00147174"/>
    <w:rsid w:val="00151A95"/>
    <w:rsid w:val="001553D1"/>
    <w:rsid w:val="001741A0"/>
    <w:rsid w:val="00174649"/>
    <w:rsid w:val="00175FA0"/>
    <w:rsid w:val="00176116"/>
    <w:rsid w:val="0018584A"/>
    <w:rsid w:val="001945FB"/>
    <w:rsid w:val="00194CD0"/>
    <w:rsid w:val="001B49C9"/>
    <w:rsid w:val="001C23F4"/>
    <w:rsid w:val="001C4F79"/>
    <w:rsid w:val="001C5A93"/>
    <w:rsid w:val="001C7CBD"/>
    <w:rsid w:val="001F168B"/>
    <w:rsid w:val="001F300A"/>
    <w:rsid w:val="001F7831"/>
    <w:rsid w:val="00201CE0"/>
    <w:rsid w:val="00204045"/>
    <w:rsid w:val="0020712B"/>
    <w:rsid w:val="002107F7"/>
    <w:rsid w:val="00217CBA"/>
    <w:rsid w:val="002211D1"/>
    <w:rsid w:val="0022606D"/>
    <w:rsid w:val="00231728"/>
    <w:rsid w:val="00244A05"/>
    <w:rsid w:val="00250404"/>
    <w:rsid w:val="002528AE"/>
    <w:rsid w:val="00256B74"/>
    <w:rsid w:val="0026013C"/>
    <w:rsid w:val="002610D8"/>
    <w:rsid w:val="0026275C"/>
    <w:rsid w:val="00265594"/>
    <w:rsid w:val="002747EC"/>
    <w:rsid w:val="002855BF"/>
    <w:rsid w:val="00287130"/>
    <w:rsid w:val="00287FC4"/>
    <w:rsid w:val="002B2988"/>
    <w:rsid w:val="002D7709"/>
    <w:rsid w:val="002D7CC5"/>
    <w:rsid w:val="002F0D22"/>
    <w:rsid w:val="00311B17"/>
    <w:rsid w:val="003172DC"/>
    <w:rsid w:val="00323153"/>
    <w:rsid w:val="00325875"/>
    <w:rsid w:val="00325AE3"/>
    <w:rsid w:val="00326069"/>
    <w:rsid w:val="003450D3"/>
    <w:rsid w:val="0035462D"/>
    <w:rsid w:val="0036459E"/>
    <w:rsid w:val="00364B41"/>
    <w:rsid w:val="00365F92"/>
    <w:rsid w:val="00367DE9"/>
    <w:rsid w:val="003750D0"/>
    <w:rsid w:val="00383096"/>
    <w:rsid w:val="0038331D"/>
    <w:rsid w:val="0039147E"/>
    <w:rsid w:val="0039346C"/>
    <w:rsid w:val="003A41EF"/>
    <w:rsid w:val="003B40AD"/>
    <w:rsid w:val="003C4E37"/>
    <w:rsid w:val="003E16BE"/>
    <w:rsid w:val="003F4D0D"/>
    <w:rsid w:val="003F4E28"/>
    <w:rsid w:val="004006E8"/>
    <w:rsid w:val="00401855"/>
    <w:rsid w:val="00410570"/>
    <w:rsid w:val="00411EFC"/>
    <w:rsid w:val="004150FD"/>
    <w:rsid w:val="00415443"/>
    <w:rsid w:val="00420FDA"/>
    <w:rsid w:val="00423A3D"/>
    <w:rsid w:val="004273F5"/>
    <w:rsid w:val="00446C3A"/>
    <w:rsid w:val="00451035"/>
    <w:rsid w:val="00465587"/>
    <w:rsid w:val="00473DDE"/>
    <w:rsid w:val="004750F7"/>
    <w:rsid w:val="00477455"/>
    <w:rsid w:val="004A1F7B"/>
    <w:rsid w:val="004A6848"/>
    <w:rsid w:val="004C44D2"/>
    <w:rsid w:val="004C5AC7"/>
    <w:rsid w:val="004D3578"/>
    <w:rsid w:val="004D380D"/>
    <w:rsid w:val="004E183A"/>
    <w:rsid w:val="004E213A"/>
    <w:rsid w:val="004E5ECD"/>
    <w:rsid w:val="004F4540"/>
    <w:rsid w:val="004F73A7"/>
    <w:rsid w:val="00503171"/>
    <w:rsid w:val="00506C28"/>
    <w:rsid w:val="00522E1A"/>
    <w:rsid w:val="00534DA0"/>
    <w:rsid w:val="0054046F"/>
    <w:rsid w:val="00543E6C"/>
    <w:rsid w:val="00550833"/>
    <w:rsid w:val="00554BD5"/>
    <w:rsid w:val="00565087"/>
    <w:rsid w:val="0056573F"/>
    <w:rsid w:val="00571279"/>
    <w:rsid w:val="005A13AB"/>
    <w:rsid w:val="005A25E9"/>
    <w:rsid w:val="005A49C6"/>
    <w:rsid w:val="005A7484"/>
    <w:rsid w:val="005C766E"/>
    <w:rsid w:val="005C7CD5"/>
    <w:rsid w:val="005D4E75"/>
    <w:rsid w:val="005D5367"/>
    <w:rsid w:val="005E58CF"/>
    <w:rsid w:val="005F2708"/>
    <w:rsid w:val="005F5036"/>
    <w:rsid w:val="00600B8B"/>
    <w:rsid w:val="00607D6E"/>
    <w:rsid w:val="006103D4"/>
    <w:rsid w:val="00610BA4"/>
    <w:rsid w:val="00611566"/>
    <w:rsid w:val="00635C05"/>
    <w:rsid w:val="00645C28"/>
    <w:rsid w:val="006464DE"/>
    <w:rsid w:val="00646D99"/>
    <w:rsid w:val="00656910"/>
    <w:rsid w:val="006574C0"/>
    <w:rsid w:val="00670BFE"/>
    <w:rsid w:val="00686276"/>
    <w:rsid w:val="0069090A"/>
    <w:rsid w:val="00696821"/>
    <w:rsid w:val="006979BE"/>
    <w:rsid w:val="00697A15"/>
    <w:rsid w:val="00697D84"/>
    <w:rsid w:val="006A29F5"/>
    <w:rsid w:val="006A37BF"/>
    <w:rsid w:val="006C66D8"/>
    <w:rsid w:val="006D1E24"/>
    <w:rsid w:val="006D3379"/>
    <w:rsid w:val="006D35DE"/>
    <w:rsid w:val="006E05BD"/>
    <w:rsid w:val="006E1057"/>
    <w:rsid w:val="006E1417"/>
    <w:rsid w:val="006F6529"/>
    <w:rsid w:val="006F6A2C"/>
    <w:rsid w:val="0070374F"/>
    <w:rsid w:val="007069DC"/>
    <w:rsid w:val="00710201"/>
    <w:rsid w:val="00712AD1"/>
    <w:rsid w:val="0072073A"/>
    <w:rsid w:val="00723FF5"/>
    <w:rsid w:val="00733C78"/>
    <w:rsid w:val="007342B5"/>
    <w:rsid w:val="00734A5B"/>
    <w:rsid w:val="0074124E"/>
    <w:rsid w:val="00744E76"/>
    <w:rsid w:val="0075247A"/>
    <w:rsid w:val="00757D40"/>
    <w:rsid w:val="007662B5"/>
    <w:rsid w:val="00781F0F"/>
    <w:rsid w:val="0078727C"/>
    <w:rsid w:val="0079049D"/>
    <w:rsid w:val="00793DC5"/>
    <w:rsid w:val="00796430"/>
    <w:rsid w:val="00796823"/>
    <w:rsid w:val="007A2E55"/>
    <w:rsid w:val="007B18D8"/>
    <w:rsid w:val="007C095F"/>
    <w:rsid w:val="007C2DD0"/>
    <w:rsid w:val="007D4F0A"/>
    <w:rsid w:val="007D74CD"/>
    <w:rsid w:val="007D7ABA"/>
    <w:rsid w:val="007E431A"/>
    <w:rsid w:val="007F080B"/>
    <w:rsid w:val="007F1FF6"/>
    <w:rsid w:val="007F2E08"/>
    <w:rsid w:val="008024FA"/>
    <w:rsid w:val="008028A4"/>
    <w:rsid w:val="00813245"/>
    <w:rsid w:val="0083081F"/>
    <w:rsid w:val="00840DE0"/>
    <w:rsid w:val="00843C93"/>
    <w:rsid w:val="00847CD0"/>
    <w:rsid w:val="0085464B"/>
    <w:rsid w:val="008607A8"/>
    <w:rsid w:val="0086335C"/>
    <w:rsid w:val="0086354A"/>
    <w:rsid w:val="008652A1"/>
    <w:rsid w:val="00866D55"/>
    <w:rsid w:val="008768CA"/>
    <w:rsid w:val="0087740D"/>
    <w:rsid w:val="00877EF9"/>
    <w:rsid w:val="00880559"/>
    <w:rsid w:val="0089762F"/>
    <w:rsid w:val="008A0623"/>
    <w:rsid w:val="008A49D6"/>
    <w:rsid w:val="008B5306"/>
    <w:rsid w:val="008B54E8"/>
    <w:rsid w:val="008C2E2A"/>
    <w:rsid w:val="008C3057"/>
    <w:rsid w:val="008D2E4D"/>
    <w:rsid w:val="008D4C8B"/>
    <w:rsid w:val="008D77F9"/>
    <w:rsid w:val="008E34C6"/>
    <w:rsid w:val="008F396F"/>
    <w:rsid w:val="008F3DCD"/>
    <w:rsid w:val="008F5813"/>
    <w:rsid w:val="009017FC"/>
    <w:rsid w:val="0090271F"/>
    <w:rsid w:val="00902DB9"/>
    <w:rsid w:val="0090466A"/>
    <w:rsid w:val="009200BA"/>
    <w:rsid w:val="00923655"/>
    <w:rsid w:val="009339CB"/>
    <w:rsid w:val="00936071"/>
    <w:rsid w:val="009376CD"/>
    <w:rsid w:val="00940212"/>
    <w:rsid w:val="00942EC2"/>
    <w:rsid w:val="00943BAB"/>
    <w:rsid w:val="00947AB2"/>
    <w:rsid w:val="00955046"/>
    <w:rsid w:val="00961B32"/>
    <w:rsid w:val="00962509"/>
    <w:rsid w:val="00970DB3"/>
    <w:rsid w:val="00974BB0"/>
    <w:rsid w:val="00975BCD"/>
    <w:rsid w:val="0097611F"/>
    <w:rsid w:val="00986208"/>
    <w:rsid w:val="009928A9"/>
    <w:rsid w:val="009A0AF3"/>
    <w:rsid w:val="009A28DE"/>
    <w:rsid w:val="009B07CD"/>
    <w:rsid w:val="009B30E8"/>
    <w:rsid w:val="009C19E9"/>
    <w:rsid w:val="009D116C"/>
    <w:rsid w:val="009D74A6"/>
    <w:rsid w:val="009E0E87"/>
    <w:rsid w:val="009F184A"/>
    <w:rsid w:val="00A0141D"/>
    <w:rsid w:val="00A07828"/>
    <w:rsid w:val="00A10F02"/>
    <w:rsid w:val="00A11D76"/>
    <w:rsid w:val="00A15605"/>
    <w:rsid w:val="00A17176"/>
    <w:rsid w:val="00A204CA"/>
    <w:rsid w:val="00A209D6"/>
    <w:rsid w:val="00A22738"/>
    <w:rsid w:val="00A36F5F"/>
    <w:rsid w:val="00A430EC"/>
    <w:rsid w:val="00A50DBA"/>
    <w:rsid w:val="00A53724"/>
    <w:rsid w:val="00A54B2B"/>
    <w:rsid w:val="00A56448"/>
    <w:rsid w:val="00A703B6"/>
    <w:rsid w:val="00A7164B"/>
    <w:rsid w:val="00A82346"/>
    <w:rsid w:val="00A824CA"/>
    <w:rsid w:val="00A9671C"/>
    <w:rsid w:val="00AA1553"/>
    <w:rsid w:val="00AC6678"/>
    <w:rsid w:val="00AC6AA3"/>
    <w:rsid w:val="00AD608C"/>
    <w:rsid w:val="00AF5EF4"/>
    <w:rsid w:val="00B039C6"/>
    <w:rsid w:val="00B047D6"/>
    <w:rsid w:val="00B05380"/>
    <w:rsid w:val="00B05962"/>
    <w:rsid w:val="00B15449"/>
    <w:rsid w:val="00B16C2F"/>
    <w:rsid w:val="00B21652"/>
    <w:rsid w:val="00B27303"/>
    <w:rsid w:val="00B37259"/>
    <w:rsid w:val="00B404B5"/>
    <w:rsid w:val="00B47FD1"/>
    <w:rsid w:val="00B516BB"/>
    <w:rsid w:val="00B62136"/>
    <w:rsid w:val="00B7538C"/>
    <w:rsid w:val="00B777E6"/>
    <w:rsid w:val="00B827DD"/>
    <w:rsid w:val="00B84DB2"/>
    <w:rsid w:val="00BA24F0"/>
    <w:rsid w:val="00BA5CC0"/>
    <w:rsid w:val="00BA7F83"/>
    <w:rsid w:val="00BC3555"/>
    <w:rsid w:val="00BC5DDC"/>
    <w:rsid w:val="00BF4E8D"/>
    <w:rsid w:val="00C06D35"/>
    <w:rsid w:val="00C12B51"/>
    <w:rsid w:val="00C15273"/>
    <w:rsid w:val="00C24650"/>
    <w:rsid w:val="00C25465"/>
    <w:rsid w:val="00C30D6F"/>
    <w:rsid w:val="00C32EBB"/>
    <w:rsid w:val="00C33079"/>
    <w:rsid w:val="00C46E95"/>
    <w:rsid w:val="00C55A12"/>
    <w:rsid w:val="00C55EF6"/>
    <w:rsid w:val="00C6553E"/>
    <w:rsid w:val="00C6737C"/>
    <w:rsid w:val="00C70781"/>
    <w:rsid w:val="00C768F8"/>
    <w:rsid w:val="00C77FE4"/>
    <w:rsid w:val="00C83A13"/>
    <w:rsid w:val="00C86D30"/>
    <w:rsid w:val="00C86F10"/>
    <w:rsid w:val="00C9068C"/>
    <w:rsid w:val="00C92967"/>
    <w:rsid w:val="00C97AD1"/>
    <w:rsid w:val="00C97E74"/>
    <w:rsid w:val="00CA3D0C"/>
    <w:rsid w:val="00CA654B"/>
    <w:rsid w:val="00CB2219"/>
    <w:rsid w:val="00CB3BEF"/>
    <w:rsid w:val="00CB72B8"/>
    <w:rsid w:val="00CD0BA8"/>
    <w:rsid w:val="00CD3D1D"/>
    <w:rsid w:val="00CD4C7B"/>
    <w:rsid w:val="00CD58FE"/>
    <w:rsid w:val="00CF4821"/>
    <w:rsid w:val="00D124AB"/>
    <w:rsid w:val="00D12C03"/>
    <w:rsid w:val="00D15D84"/>
    <w:rsid w:val="00D202A4"/>
    <w:rsid w:val="00D32F06"/>
    <w:rsid w:val="00D33BE3"/>
    <w:rsid w:val="00D3792D"/>
    <w:rsid w:val="00D457A1"/>
    <w:rsid w:val="00D46976"/>
    <w:rsid w:val="00D55E47"/>
    <w:rsid w:val="00D56EE0"/>
    <w:rsid w:val="00D62E19"/>
    <w:rsid w:val="00D67908"/>
    <w:rsid w:val="00D67CD1"/>
    <w:rsid w:val="00D738D6"/>
    <w:rsid w:val="00D80795"/>
    <w:rsid w:val="00D854BE"/>
    <w:rsid w:val="00D87E00"/>
    <w:rsid w:val="00D9134D"/>
    <w:rsid w:val="00D96D11"/>
    <w:rsid w:val="00DA7A03"/>
    <w:rsid w:val="00DB0DB8"/>
    <w:rsid w:val="00DB1818"/>
    <w:rsid w:val="00DB6089"/>
    <w:rsid w:val="00DC309B"/>
    <w:rsid w:val="00DC4DA2"/>
    <w:rsid w:val="00DC5261"/>
    <w:rsid w:val="00DD28E3"/>
    <w:rsid w:val="00DD29B8"/>
    <w:rsid w:val="00DE25D2"/>
    <w:rsid w:val="00DE6A68"/>
    <w:rsid w:val="00DF7057"/>
    <w:rsid w:val="00DF78E4"/>
    <w:rsid w:val="00DF7C20"/>
    <w:rsid w:val="00E12486"/>
    <w:rsid w:val="00E227D2"/>
    <w:rsid w:val="00E4473E"/>
    <w:rsid w:val="00E46C08"/>
    <w:rsid w:val="00E471CF"/>
    <w:rsid w:val="00E62835"/>
    <w:rsid w:val="00E70545"/>
    <w:rsid w:val="00E74650"/>
    <w:rsid w:val="00E77539"/>
    <w:rsid w:val="00E77645"/>
    <w:rsid w:val="00E83697"/>
    <w:rsid w:val="00E859B6"/>
    <w:rsid w:val="00E90F42"/>
    <w:rsid w:val="00EA5473"/>
    <w:rsid w:val="00EA5F89"/>
    <w:rsid w:val="00EA66C9"/>
    <w:rsid w:val="00EB5D32"/>
    <w:rsid w:val="00EC0D1E"/>
    <w:rsid w:val="00EC448D"/>
    <w:rsid w:val="00EC4A25"/>
    <w:rsid w:val="00EC6A29"/>
    <w:rsid w:val="00ED00EB"/>
    <w:rsid w:val="00ED319F"/>
    <w:rsid w:val="00ED66FB"/>
    <w:rsid w:val="00ED7CB3"/>
    <w:rsid w:val="00EE075E"/>
    <w:rsid w:val="00EE38CC"/>
    <w:rsid w:val="00EF612C"/>
    <w:rsid w:val="00F025A2"/>
    <w:rsid w:val="00F036E9"/>
    <w:rsid w:val="00F07388"/>
    <w:rsid w:val="00F2026E"/>
    <w:rsid w:val="00F2210A"/>
    <w:rsid w:val="00F2790C"/>
    <w:rsid w:val="00F31372"/>
    <w:rsid w:val="00F33480"/>
    <w:rsid w:val="00F35980"/>
    <w:rsid w:val="00F37743"/>
    <w:rsid w:val="00F41CF2"/>
    <w:rsid w:val="00F43015"/>
    <w:rsid w:val="00F54A3D"/>
    <w:rsid w:val="00F54CB0"/>
    <w:rsid w:val="00F579CD"/>
    <w:rsid w:val="00F61B76"/>
    <w:rsid w:val="00F653B8"/>
    <w:rsid w:val="00F71B89"/>
    <w:rsid w:val="00F7353C"/>
    <w:rsid w:val="00F76F8F"/>
    <w:rsid w:val="00F863EF"/>
    <w:rsid w:val="00F87257"/>
    <w:rsid w:val="00F941DF"/>
    <w:rsid w:val="00F94B0E"/>
    <w:rsid w:val="00F96675"/>
    <w:rsid w:val="00FA1266"/>
    <w:rsid w:val="00FB36FA"/>
    <w:rsid w:val="00FC1192"/>
    <w:rsid w:val="00FE106D"/>
    <w:rsid w:val="00FE251B"/>
    <w:rsid w:val="00FE3160"/>
    <w:rsid w:val="00FF0C52"/>
    <w:rsid w:val="00FF4A5D"/>
    <w:rsid w:val="00FF4C7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E6A68"/>
    <w:pPr>
      <w:ind w:left="720"/>
      <w:contextualSpacing/>
    </w:p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nhideWhenUsed/>
    <w:qFormat/>
    <w:rsid w:val="00DE6A68"/>
    <w:pPr>
      <w:spacing w:after="200"/>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DE6A68"/>
    <w:rPr>
      <w:i/>
      <w:iCs/>
      <w:color w:val="44546A" w:themeColor="text2"/>
      <w:sz w:val="18"/>
      <w:szCs w:val="18"/>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E6A68"/>
    <w:rPr>
      <w:lang w:eastAsia="en-US"/>
    </w:rPr>
  </w:style>
  <w:style w:type="paragraph" w:customStyle="1" w:styleId="xxmsonormal">
    <w:name w:val="x_xmsonormal"/>
    <w:basedOn w:val="Normal"/>
    <w:rsid w:val="00287130"/>
    <w:pPr>
      <w:spacing w:before="100" w:beforeAutospacing="1" w:after="100" w:afterAutospacing="1"/>
    </w:pPr>
    <w:rPr>
      <w:rFonts w:ascii="Calibri" w:eastAsiaTheme="minorHAnsi" w:hAnsi="Calibri" w:cs="Calibri"/>
      <w:sz w:val="22"/>
      <w:szCs w:val="22"/>
      <w:lang w:val="da-DK" w:eastAsia="da-DK"/>
    </w:rPr>
  </w:style>
  <w:style w:type="character" w:styleId="CommentReference">
    <w:name w:val="annotation reference"/>
    <w:basedOn w:val="DefaultParagraphFont"/>
    <w:rsid w:val="00DD28E3"/>
    <w:rPr>
      <w:sz w:val="16"/>
      <w:szCs w:val="16"/>
    </w:rPr>
  </w:style>
  <w:style w:type="paragraph" w:styleId="CommentText">
    <w:name w:val="annotation text"/>
    <w:basedOn w:val="Normal"/>
    <w:link w:val="CommentTextChar"/>
    <w:rsid w:val="00DD28E3"/>
  </w:style>
  <w:style w:type="character" w:customStyle="1" w:styleId="CommentTextChar">
    <w:name w:val="Comment Text Char"/>
    <w:basedOn w:val="DefaultParagraphFont"/>
    <w:link w:val="CommentText"/>
    <w:rsid w:val="00DD28E3"/>
    <w:rPr>
      <w:lang w:eastAsia="en-US"/>
    </w:rPr>
  </w:style>
  <w:style w:type="paragraph" w:styleId="CommentSubject">
    <w:name w:val="annotation subject"/>
    <w:basedOn w:val="CommentText"/>
    <w:next w:val="CommentText"/>
    <w:link w:val="CommentSubjectChar"/>
    <w:rsid w:val="00DD28E3"/>
    <w:rPr>
      <w:b/>
      <w:bCs/>
    </w:rPr>
  </w:style>
  <w:style w:type="character" w:customStyle="1" w:styleId="CommentSubjectChar">
    <w:name w:val="Comment Subject Char"/>
    <w:basedOn w:val="CommentTextChar"/>
    <w:link w:val="CommentSubject"/>
    <w:rsid w:val="00DD28E3"/>
    <w:rPr>
      <w:b/>
      <w:bCs/>
      <w:lang w:eastAsia="en-US"/>
    </w:rPr>
  </w:style>
  <w:style w:type="table" w:styleId="TableGrid">
    <w:name w:val="Table Grid"/>
    <w:basedOn w:val="TableNormal"/>
    <w:uiPriority w:val="39"/>
    <w:rsid w:val="00ED00EB"/>
    <w:rPr>
      <w:rFonts w:ascii="Arial" w:eastAsiaTheme="minorHAnsi" w:hAnsi="Arial" w:cstheme="minorBid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D00EB"/>
    <w:pPr>
      <w:spacing w:before="100" w:beforeAutospacing="1" w:after="100" w:afterAutospacing="1"/>
    </w:pPr>
    <w:rPr>
      <w:sz w:val="24"/>
      <w:szCs w:val="24"/>
      <w:lang w:eastAsia="en-GB"/>
    </w:rPr>
  </w:style>
  <w:style w:type="character" w:customStyle="1" w:styleId="normaltextrun">
    <w:name w:val="normaltextrun"/>
    <w:basedOn w:val="DefaultParagraphFont"/>
    <w:qFormat/>
    <w:rsid w:val="00ED00EB"/>
  </w:style>
  <w:style w:type="character" w:customStyle="1" w:styleId="TAHCar">
    <w:name w:val="TAH Car"/>
    <w:link w:val="TAH"/>
    <w:qFormat/>
    <w:locked/>
    <w:rsid w:val="00ED00EB"/>
    <w:rPr>
      <w:rFonts w:ascii="Arial" w:hAnsi="Arial"/>
      <w:b/>
      <w:sz w:val="18"/>
      <w:lang w:eastAsia="en-US"/>
    </w:rPr>
  </w:style>
  <w:style w:type="paragraph" w:customStyle="1" w:styleId="RAN4H2">
    <w:name w:val="RAN4 H2"/>
    <w:basedOn w:val="Heading2"/>
    <w:next w:val="Normal"/>
    <w:qFormat/>
    <w:rsid w:val="00ED00EB"/>
    <w:pPr>
      <w:numPr>
        <w:ilvl w:val="1"/>
        <w:numId w:val="18"/>
      </w:numPr>
      <w:tabs>
        <w:tab w:val="num" w:pos="360"/>
      </w:tabs>
    </w:pPr>
    <w:rPr>
      <w:lang w:val="en-US"/>
    </w:rPr>
  </w:style>
  <w:style w:type="paragraph" w:customStyle="1" w:styleId="RAN4H1">
    <w:name w:val="RAN4 H1"/>
    <w:basedOn w:val="Normal"/>
    <w:next w:val="Normal"/>
    <w:link w:val="RAN4H1Char"/>
    <w:qFormat/>
    <w:rsid w:val="00ED00EB"/>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ED00EB"/>
    <w:rPr>
      <w:rFonts w:ascii="Arial" w:eastAsia="SimSun" w:hAnsi="Arial"/>
      <w:sz w:val="36"/>
      <w:lang w:eastAsia="en-US"/>
    </w:rPr>
  </w:style>
  <w:style w:type="paragraph" w:customStyle="1" w:styleId="RAN4H3">
    <w:name w:val="RAN4 H3"/>
    <w:basedOn w:val="Normal"/>
    <w:qFormat/>
    <w:rsid w:val="00ED00EB"/>
    <w:pPr>
      <w:numPr>
        <w:ilvl w:val="2"/>
        <w:numId w:val="18"/>
      </w:numPr>
      <w:spacing w:after="160" w:line="259" w:lineRule="auto"/>
    </w:pPr>
    <w:rPr>
      <w:rFonts w:ascii="Arial" w:eastAsiaTheme="minorHAnsi" w:hAnsi="Arial" w:cs="Arial"/>
      <w:sz w:val="24"/>
      <w:szCs w:val="22"/>
      <w:lang w:val="en-US"/>
    </w:rPr>
  </w:style>
  <w:style w:type="character" w:customStyle="1" w:styleId="Heading2Char">
    <w:name w:val="Heading 2 Char"/>
    <w:basedOn w:val="DefaultParagraphFont"/>
    <w:link w:val="Heading2"/>
    <w:rsid w:val="00A50DBA"/>
    <w:rPr>
      <w:rFonts w:ascii="Arial" w:hAnsi="Arial"/>
      <w:sz w:val="32"/>
      <w:lang w:eastAsia="en-US"/>
    </w:rPr>
  </w:style>
  <w:style w:type="paragraph" w:styleId="NormalWeb">
    <w:name w:val="Normal (Web)"/>
    <w:basedOn w:val="Normal"/>
    <w:uiPriority w:val="99"/>
    <w:unhideWhenUsed/>
    <w:rsid w:val="00A50DBA"/>
    <w:pPr>
      <w:spacing w:before="100" w:beforeAutospacing="1" w:after="100" w:afterAutospacing="1"/>
    </w:pPr>
    <w:rPr>
      <w:sz w:val="24"/>
      <w:szCs w:val="24"/>
      <w:lang w:eastAsia="en-GB"/>
    </w:rPr>
  </w:style>
  <w:style w:type="paragraph" w:customStyle="1" w:styleId="Doc-title">
    <w:name w:val="Doc-title"/>
    <w:basedOn w:val="Normal"/>
    <w:next w:val="Doc-text2"/>
    <w:link w:val="Doc-titleChar"/>
    <w:qFormat/>
    <w:rsid w:val="00C32EBB"/>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C32EB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32EBB"/>
    <w:rPr>
      <w:rFonts w:ascii="Arial" w:eastAsia="MS Mincho" w:hAnsi="Arial"/>
      <w:szCs w:val="24"/>
    </w:rPr>
  </w:style>
  <w:style w:type="character" w:customStyle="1" w:styleId="Doc-titleChar">
    <w:name w:val="Doc-title Char"/>
    <w:link w:val="Doc-title"/>
    <w:qFormat/>
    <w:rsid w:val="00C32EBB"/>
    <w:rPr>
      <w:rFonts w:ascii="Arial" w:eastAsia="MS Mincho" w:hAnsi="Arial"/>
      <w:noProof/>
      <w:szCs w:val="24"/>
    </w:rPr>
  </w:style>
  <w:style w:type="character" w:styleId="FootnoteReference">
    <w:name w:val="footnote reference"/>
    <w:basedOn w:val="DefaultParagraphFont"/>
    <w:rsid w:val="007D7ABA"/>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81731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1702319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30210861">
      <w:bodyDiv w:val="1"/>
      <w:marLeft w:val="0"/>
      <w:marRight w:val="0"/>
      <w:marTop w:val="0"/>
      <w:marBottom w:val="0"/>
      <w:divBdr>
        <w:top w:val="none" w:sz="0" w:space="0" w:color="auto"/>
        <w:left w:val="none" w:sz="0" w:space="0" w:color="auto"/>
        <w:bottom w:val="none" w:sz="0" w:space="0" w:color="auto"/>
        <w:right w:val="none" w:sz="0" w:space="0" w:color="auto"/>
      </w:divBdr>
    </w:div>
    <w:div w:id="173161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5AIRPNAIUNRU-859666464-13391</_dlc_DocId>
    <_dlc_DocIdUrl xmlns="71c5aaf6-e6ce-465b-b873-5148d2a4c105">
      <Url>https://nokia.sharepoint.com/sites/c5g/e2earch/_layouts/15/DocIdRedir.aspx?ID=5AIRPNAIUNRU-859666464-13391</Url>
      <Description>5AIRPNAIUNRU-859666464-13391</Description>
    </_dlc_DocIdUrl>
  </documentManagement>
</p:properties>
</file>

<file path=customXml/itemProps1.xml><?xml version="1.0" encoding="utf-8"?>
<ds:datastoreItem xmlns:ds="http://schemas.openxmlformats.org/officeDocument/2006/customXml" ds:itemID="{DBAE686D-1528-4914-8269-DE3E0D0AF791}">
  <ds:schemaRefs>
    <ds:schemaRef ds:uri="http://schemas.openxmlformats.org/officeDocument/2006/bibliography"/>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8ED1FF41-9130-4FBF-B742-64100F73850B}">
  <ds:schemaRefs>
    <ds:schemaRef ds:uri="http://purl.org/dc/terms/"/>
    <ds:schemaRef ds:uri="http://purl.org/dc/elements/1.1/"/>
    <ds:schemaRef ds:uri="http://purl.org/dc/dcmitype/"/>
    <ds:schemaRef ds:uri="http://www.w3.org/XML/1998/namespace"/>
    <ds:schemaRef ds:uri="83f22d2f-d16e-4be6-ad4f-29fa0b067c3c"/>
    <ds:schemaRef ds:uri="http://schemas.microsoft.com/office/2006/documentManagement/types"/>
    <ds:schemaRef ds:uri="a3840f4f-04be-43d1-b2ef-6ff1382503c7"/>
    <ds:schemaRef ds:uri="http://schemas.microsoft.com/office/2006/metadata/properties"/>
    <ds:schemaRef ds:uri="http://schemas.microsoft.com/office/infopath/2007/PartnerControls"/>
    <ds:schemaRef ds:uri="http://schemas.openxmlformats.org/package/2006/metadata/core-propertie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3</Pages>
  <Words>1543</Words>
  <Characters>7813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9338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131</cp:revision>
  <dcterms:created xsi:type="dcterms:W3CDTF">2022-10-28T09:12:00Z</dcterms:created>
  <dcterms:modified xsi:type="dcterms:W3CDTF">2023-02-17T08:47:00Z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ab299271-f3a0-4560-b262-f22e56a70997</vt:lpwstr>
  </property>
</Properties>
</file>